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8C" w:rsidRPr="008158AF" w:rsidRDefault="005B198C">
      <w:pPr>
        <w:pBdr>
          <w:top w:val="single" w:sz="8" w:space="2" w:color="000000"/>
          <w:left w:val="single" w:sz="8" w:space="4" w:color="000000"/>
          <w:bottom w:val="single" w:sz="8" w:space="1" w:color="000000"/>
          <w:right w:val="single" w:sz="8" w:space="4" w:color="000000"/>
        </w:pBdr>
        <w:jc w:val="center"/>
        <w:rPr>
          <w:b/>
          <w:bCs/>
          <w:i/>
          <w:iCs/>
          <w:lang w:val="en-GB" w:eastAsia="de-DE"/>
        </w:rPr>
      </w:pPr>
      <w:r>
        <w:rPr>
          <w:b/>
          <w:bCs/>
          <w:i/>
          <w:iCs/>
          <w:lang w:val="en-GB" w:eastAsia="de-DE"/>
        </w:rPr>
        <w:t>Making the global village work</w:t>
      </w:r>
      <w:proofErr w:type="gramStart"/>
      <w:r>
        <w:rPr>
          <w:b/>
          <w:bCs/>
          <w:i/>
          <w:iCs/>
          <w:lang w:val="en-GB" w:eastAsia="de-DE"/>
        </w:rPr>
        <w:t>:</w:t>
      </w:r>
      <w:proofErr w:type="gramEnd"/>
      <w:r>
        <w:rPr>
          <w:b/>
          <w:bCs/>
          <w:i/>
          <w:iCs/>
          <w:lang w:val="en-GB" w:eastAsia="de-DE"/>
        </w:rPr>
        <w:br/>
      </w:r>
      <w:r w:rsidRPr="008158AF">
        <w:rPr>
          <w:b/>
          <w:bCs/>
          <w:i/>
          <w:iCs/>
          <w:lang w:val="en-GB" w:eastAsia="de-DE"/>
        </w:rPr>
        <w:t>ways to a more sustainable world</w:t>
      </w:r>
    </w:p>
    <w:p w:rsidR="005B198C" w:rsidRPr="005078CC" w:rsidRDefault="005B198C">
      <w:pPr>
        <w:pBdr>
          <w:top w:val="single" w:sz="8" w:space="2" w:color="000000"/>
          <w:left w:val="single" w:sz="8" w:space="4" w:color="000000"/>
          <w:bottom w:val="single" w:sz="8" w:space="1" w:color="000000"/>
          <w:right w:val="single" w:sz="8" w:space="4" w:color="000000"/>
        </w:pBdr>
        <w:jc w:val="center"/>
        <w:rPr>
          <w:b/>
          <w:bCs/>
          <w:lang w:eastAsia="de-DE"/>
        </w:rPr>
      </w:pPr>
      <w:r w:rsidRPr="005078CC">
        <w:rPr>
          <w:b/>
          <w:bCs/>
          <w:lang w:eastAsia="de-DE"/>
        </w:rPr>
        <w:t>Q2 (LK),</w:t>
      </w:r>
    </w:p>
    <w:p w:rsidR="005B198C" w:rsidRPr="005301B9" w:rsidRDefault="005B198C">
      <w:pPr>
        <w:pBdr>
          <w:top w:val="single" w:sz="8" w:space="2" w:color="000000"/>
          <w:left w:val="single" w:sz="8" w:space="4" w:color="000000"/>
          <w:bottom w:val="single" w:sz="8" w:space="1" w:color="000000"/>
          <w:right w:val="single" w:sz="8" w:space="4" w:color="000000"/>
        </w:pBdr>
        <w:jc w:val="center"/>
        <w:rPr>
          <w:b/>
          <w:bCs/>
          <w:i/>
          <w:iCs/>
        </w:rPr>
      </w:pPr>
      <w:r w:rsidRPr="005301B9">
        <w:rPr>
          <w:b/>
          <w:bCs/>
          <w:lang w:eastAsia="de-DE"/>
        </w:rPr>
        <w:t xml:space="preserve">1. Halbjahr: </w:t>
      </w:r>
      <w:r>
        <w:rPr>
          <w:b/>
          <w:bCs/>
          <w:lang w:eastAsia="de-DE"/>
        </w:rPr>
        <w:t>Unterrichtsvorhaben 2</w:t>
      </w:r>
    </w:p>
    <w:p w:rsidR="005B198C" w:rsidRDefault="005B198C">
      <w:pPr>
        <w:jc w:val="left"/>
        <w:rPr>
          <w:b/>
          <w:bCs/>
        </w:rPr>
      </w:pPr>
    </w:p>
    <w:p w:rsidR="005B198C" w:rsidRPr="00DE53CC" w:rsidRDefault="00D01E62" w:rsidP="00DE53CC">
      <w:pPr>
        <w:pBdr>
          <w:top w:val="single" w:sz="4" w:space="1" w:color="auto"/>
          <w:left w:val="single" w:sz="4" w:space="4" w:color="auto"/>
          <w:bottom w:val="single" w:sz="4" w:space="1" w:color="auto"/>
          <w:right w:val="single" w:sz="4" w:space="4" w:color="auto"/>
        </w:pBdr>
        <w:shd w:val="clear" w:color="auto" w:fill="D9D9D9"/>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49.9pt;margin-top:.95pt;width:35.3pt;height:42.75pt;z-index:251657728;visibility:visible" stroked="f">
            <v:textbox>
              <w:txbxContent>
                <w:p w:rsidR="005B198C" w:rsidRDefault="005B198C">
                  <w:r w:rsidRPr="00DE53CC">
                    <w:rPr>
                      <w:sz w:val="40"/>
                      <w:szCs w:val="40"/>
                    </w:rPr>
                    <w:sym w:font="Webdings" w:char="F069"/>
                  </w:r>
                </w:p>
              </w:txbxContent>
            </v:textbox>
          </v:shape>
        </w:pict>
      </w:r>
      <w:r w:rsidR="005B198C" w:rsidRPr="00DE53CC">
        <w:t xml:space="preserve">Die folgenden Ausführungen zur Lernaufgabe </w:t>
      </w:r>
      <w:r w:rsidR="005B198C">
        <w:rPr>
          <w:i/>
          <w:iCs/>
        </w:rPr>
        <w:t xml:space="preserve">Making </w:t>
      </w:r>
      <w:proofErr w:type="spellStart"/>
      <w:r w:rsidR="005B198C">
        <w:rPr>
          <w:i/>
          <w:iCs/>
        </w:rPr>
        <w:t>the</w:t>
      </w:r>
      <w:proofErr w:type="spellEnd"/>
      <w:r w:rsidR="005B198C">
        <w:rPr>
          <w:i/>
          <w:iCs/>
        </w:rPr>
        <w:t xml:space="preserve"> global </w:t>
      </w:r>
      <w:proofErr w:type="spellStart"/>
      <w:r w:rsidR="005B198C">
        <w:rPr>
          <w:i/>
          <w:iCs/>
        </w:rPr>
        <w:t>village</w:t>
      </w:r>
      <w:proofErr w:type="spellEnd"/>
      <w:r w:rsidR="005B198C">
        <w:rPr>
          <w:i/>
          <w:iCs/>
        </w:rPr>
        <w:t xml:space="preserve"> </w:t>
      </w:r>
      <w:proofErr w:type="spellStart"/>
      <w:r w:rsidR="005B198C">
        <w:rPr>
          <w:i/>
          <w:iCs/>
        </w:rPr>
        <w:t>work</w:t>
      </w:r>
      <w:proofErr w:type="spellEnd"/>
      <w:r w:rsidR="005B198C">
        <w:rPr>
          <w:i/>
          <w:iCs/>
        </w:rPr>
        <w:t xml:space="preserve">: </w:t>
      </w:r>
      <w:proofErr w:type="spellStart"/>
      <w:r w:rsidR="005B198C">
        <w:rPr>
          <w:i/>
          <w:iCs/>
        </w:rPr>
        <w:t>Globalisation</w:t>
      </w:r>
      <w:proofErr w:type="spellEnd"/>
      <w:r w:rsidR="005B198C">
        <w:rPr>
          <w:i/>
          <w:iCs/>
        </w:rPr>
        <w:t xml:space="preserve"> </w:t>
      </w:r>
      <w:proofErr w:type="spellStart"/>
      <w:r w:rsidR="005B198C">
        <w:rPr>
          <w:i/>
          <w:iCs/>
        </w:rPr>
        <w:t>coming</w:t>
      </w:r>
      <w:proofErr w:type="spellEnd"/>
      <w:r w:rsidR="005B198C">
        <w:rPr>
          <w:i/>
          <w:iCs/>
        </w:rPr>
        <w:t xml:space="preserve"> </w:t>
      </w:r>
      <w:proofErr w:type="spellStart"/>
      <w:r w:rsidR="005B198C">
        <w:rPr>
          <w:i/>
          <w:iCs/>
        </w:rPr>
        <w:t>to</w:t>
      </w:r>
      <w:proofErr w:type="spellEnd"/>
      <w:r w:rsidR="005B198C">
        <w:rPr>
          <w:i/>
          <w:iCs/>
        </w:rPr>
        <w:t xml:space="preserve"> Ghana – </w:t>
      </w:r>
      <w:proofErr w:type="spellStart"/>
      <w:r w:rsidR="005B198C">
        <w:rPr>
          <w:i/>
          <w:iCs/>
        </w:rPr>
        <w:t>written</w:t>
      </w:r>
      <w:proofErr w:type="spellEnd"/>
      <w:r w:rsidR="005B198C">
        <w:rPr>
          <w:i/>
          <w:iCs/>
        </w:rPr>
        <w:t xml:space="preserve"> </w:t>
      </w:r>
      <w:proofErr w:type="spellStart"/>
      <w:r w:rsidR="005B198C">
        <w:rPr>
          <w:i/>
          <w:iCs/>
        </w:rPr>
        <w:t>mediation</w:t>
      </w:r>
      <w:proofErr w:type="spellEnd"/>
      <w:r w:rsidR="005B198C">
        <w:rPr>
          <w:i/>
          <w:iCs/>
        </w:rPr>
        <w:t xml:space="preserve"> (German-English)</w:t>
      </w:r>
      <w:r w:rsidR="005B198C" w:rsidRPr="00DE53CC">
        <w:t xml:space="preserve"> sind als Beispielaufgabe zu verstehen. Hieran soll verdeutlicht werden, wie die Kompetenzanforderungen des Kernlehrplans für </w:t>
      </w:r>
      <w:r w:rsidR="005B198C">
        <w:t>die gymnasiale Oberstufe</w:t>
      </w:r>
      <w:r w:rsidR="005B198C" w:rsidRPr="00DE53CC">
        <w:t xml:space="preserve"> in der Praxis umgesetzt werden könnten. Das Aufgabenbeispiel möchte Anregungen und Impulse zur Unterrichtsentwicklung geben und hat keinerlei bindenden Charakter. </w:t>
      </w:r>
    </w:p>
    <w:p w:rsidR="005B198C" w:rsidRDefault="005B198C">
      <w:pPr>
        <w:jc w:val="left"/>
        <w:rPr>
          <w:b/>
          <w:bCs/>
        </w:rPr>
      </w:pPr>
    </w:p>
    <w:tbl>
      <w:tblPr>
        <w:tblW w:w="9317" w:type="dxa"/>
        <w:tblInd w:w="-106" w:type="dxa"/>
        <w:tblLayout w:type="fixed"/>
        <w:tblLook w:val="0000" w:firstRow="0" w:lastRow="0" w:firstColumn="0" w:lastColumn="0" w:noHBand="0" w:noVBand="0"/>
      </w:tblPr>
      <w:tblGrid>
        <w:gridCol w:w="2250"/>
        <w:gridCol w:w="7067"/>
      </w:tblGrid>
      <w:tr w:rsidR="005B198C" w:rsidRPr="00C27AD3">
        <w:trPr>
          <w:trHeight w:val="255"/>
        </w:trPr>
        <w:tc>
          <w:tcPr>
            <w:tcW w:w="2250" w:type="dxa"/>
            <w:tcBorders>
              <w:top w:val="single" w:sz="8" w:space="0" w:color="000000"/>
              <w:left w:val="single" w:sz="8" w:space="0" w:color="000000"/>
              <w:bottom w:val="single" w:sz="4" w:space="0" w:color="000000"/>
            </w:tcBorders>
            <w:shd w:val="clear" w:color="auto" w:fill="C0C0C0"/>
          </w:tcPr>
          <w:p w:rsidR="005B198C" w:rsidRDefault="005B198C">
            <w:pPr>
              <w:spacing w:before="120" w:after="120"/>
              <w:jc w:val="left"/>
              <w:rPr>
                <w:i/>
                <w:iCs/>
                <w:lang w:val="en-US"/>
              </w:rPr>
            </w:pPr>
            <w:r>
              <w:rPr>
                <w:b/>
                <w:bCs/>
              </w:rPr>
              <w:t>Thema:</w:t>
            </w:r>
          </w:p>
        </w:tc>
        <w:tc>
          <w:tcPr>
            <w:tcW w:w="7067" w:type="dxa"/>
            <w:tcBorders>
              <w:top w:val="single" w:sz="8" w:space="0" w:color="000000"/>
              <w:left w:val="single" w:sz="8" w:space="0" w:color="000000"/>
              <w:bottom w:val="single" w:sz="4" w:space="0" w:color="000000"/>
              <w:right w:val="single" w:sz="8" w:space="0" w:color="000000"/>
            </w:tcBorders>
          </w:tcPr>
          <w:p w:rsidR="005B198C" w:rsidRPr="00AB3413" w:rsidRDefault="005B198C" w:rsidP="00A26FB4">
            <w:pPr>
              <w:spacing w:before="120" w:after="120"/>
              <w:jc w:val="left"/>
              <w:rPr>
                <w:b/>
                <w:bCs/>
                <w:lang w:val="en-GB"/>
              </w:rPr>
            </w:pPr>
            <w:r w:rsidRPr="000E2766">
              <w:rPr>
                <w:b/>
                <w:bCs/>
                <w:i/>
                <w:iCs/>
                <w:lang w:val="en-GB"/>
              </w:rPr>
              <w:t>Making the global village work: Globalisation coming to Ghana</w:t>
            </w:r>
          </w:p>
        </w:tc>
      </w:tr>
      <w:tr w:rsidR="005B198C" w:rsidRPr="006316A3">
        <w:trPr>
          <w:trHeight w:val="3195"/>
        </w:trPr>
        <w:tc>
          <w:tcPr>
            <w:tcW w:w="2250" w:type="dxa"/>
            <w:vMerge w:val="restart"/>
            <w:tcBorders>
              <w:top w:val="single" w:sz="4" w:space="0" w:color="000000"/>
              <w:left w:val="single" w:sz="8" w:space="0" w:color="000000"/>
            </w:tcBorders>
            <w:shd w:val="clear" w:color="auto" w:fill="C0C0C0"/>
          </w:tcPr>
          <w:p w:rsidR="005B198C" w:rsidRDefault="005B198C">
            <w:pPr>
              <w:spacing w:before="120" w:after="120"/>
              <w:jc w:val="left"/>
            </w:pPr>
            <w:r>
              <w:rPr>
                <w:b/>
                <w:bCs/>
              </w:rPr>
              <w:t>Schwerpunkt-kompetenz(en):</w:t>
            </w:r>
          </w:p>
        </w:tc>
        <w:tc>
          <w:tcPr>
            <w:tcW w:w="7067" w:type="dxa"/>
            <w:tcBorders>
              <w:top w:val="single" w:sz="4" w:space="0" w:color="000000"/>
              <w:left w:val="single" w:sz="8" w:space="0" w:color="000000"/>
              <w:bottom w:val="single" w:sz="4" w:space="0" w:color="auto"/>
              <w:right w:val="single" w:sz="8" w:space="0" w:color="000000"/>
            </w:tcBorders>
          </w:tcPr>
          <w:p w:rsidR="005B198C" w:rsidRPr="000D7D1A" w:rsidRDefault="005B198C">
            <w:pPr>
              <w:spacing w:before="120" w:after="120"/>
              <w:jc w:val="left"/>
              <w:rPr>
                <w:b/>
                <w:bCs/>
              </w:rPr>
            </w:pPr>
            <w:r w:rsidRPr="000D7D1A">
              <w:rPr>
                <w:b/>
                <w:bCs/>
              </w:rPr>
              <w:t>Funktional kommunikative Kompetenzen</w:t>
            </w:r>
          </w:p>
          <w:p w:rsidR="005B198C" w:rsidRPr="000D7D1A" w:rsidRDefault="005B198C">
            <w:pPr>
              <w:spacing w:before="120" w:after="120"/>
              <w:jc w:val="left"/>
            </w:pPr>
            <w:r>
              <w:fldChar w:fldCharType="begin">
                <w:ffData>
                  <w:name w:val=""/>
                  <w:enabled/>
                  <w:calcOnExit w:val="0"/>
                  <w:checkBox>
                    <w:sizeAuto/>
                    <w:default w:val="0"/>
                  </w:checkBox>
                </w:ffData>
              </w:fldChar>
            </w:r>
            <w:r>
              <w:instrText xml:space="preserve"> FORMCHECKBOX </w:instrText>
            </w:r>
            <w:r w:rsidR="00D01E62">
              <w:fldChar w:fldCharType="separate"/>
            </w:r>
            <w:r>
              <w:fldChar w:fldCharType="end"/>
            </w:r>
            <w:r>
              <w:rPr>
                <w:b/>
                <w:bCs/>
              </w:rPr>
              <w:t xml:space="preserve"> </w:t>
            </w:r>
            <w:r w:rsidRPr="000D7D1A">
              <w:t>Hör-/Hörsehverstehen</w:t>
            </w:r>
          </w:p>
          <w:p w:rsidR="005B198C" w:rsidRDefault="005B198C">
            <w:pPr>
              <w:spacing w:before="120" w:after="120"/>
              <w:jc w:val="left"/>
            </w:pPr>
            <w:r>
              <w:fldChar w:fldCharType="begin">
                <w:ffData>
                  <w:name w:val="Control0"/>
                  <w:enabled/>
                  <w:calcOnExit w:val="0"/>
                  <w:checkBox>
                    <w:sizeAuto/>
                    <w:default w:val="0"/>
                    <w:checked w:val="0"/>
                  </w:checkBox>
                </w:ffData>
              </w:fldChar>
            </w:r>
            <w:r>
              <w:instrText xml:space="preserve"> FORMCHECKBOX </w:instrText>
            </w:r>
            <w:r w:rsidR="00D01E62">
              <w:fldChar w:fldCharType="separate"/>
            </w:r>
            <w:r>
              <w:fldChar w:fldCharType="end"/>
            </w:r>
            <w:r>
              <w:t xml:space="preserve"> Leseverstehen </w:t>
            </w:r>
          </w:p>
          <w:p w:rsidR="005B198C" w:rsidRDefault="005B198C">
            <w:pPr>
              <w:spacing w:before="120" w:after="120"/>
              <w:jc w:val="left"/>
            </w:pPr>
            <w:r>
              <w:fldChar w:fldCharType="begin">
                <w:ffData>
                  <w:name w:val="Control0"/>
                  <w:enabled/>
                  <w:calcOnExit w:val="0"/>
                  <w:checkBox>
                    <w:sizeAuto/>
                    <w:default w:val="0"/>
                  </w:checkBox>
                </w:ffData>
              </w:fldChar>
            </w:r>
            <w:r>
              <w:instrText xml:space="preserve"> FORMCHECKBOX </w:instrText>
            </w:r>
            <w:r w:rsidR="00D01E62">
              <w:fldChar w:fldCharType="separate"/>
            </w:r>
            <w:r>
              <w:fldChar w:fldCharType="end"/>
            </w:r>
            <w:r>
              <w:t xml:space="preserve"> Sprechen: an Gesprächen teilnehmen</w:t>
            </w:r>
          </w:p>
          <w:p w:rsidR="005B198C" w:rsidRDefault="005B198C">
            <w:pPr>
              <w:spacing w:before="120" w:after="120"/>
              <w:jc w:val="left"/>
            </w:pPr>
            <w:r>
              <w:fldChar w:fldCharType="begin">
                <w:ffData>
                  <w:name w:val="Control0"/>
                  <w:enabled/>
                  <w:calcOnExit w:val="0"/>
                  <w:checkBox>
                    <w:sizeAuto/>
                    <w:default w:val="0"/>
                  </w:checkBox>
                </w:ffData>
              </w:fldChar>
            </w:r>
            <w:r>
              <w:instrText xml:space="preserve"> FORMCHECKBOX </w:instrText>
            </w:r>
            <w:r w:rsidR="00D01E62">
              <w:fldChar w:fldCharType="separate"/>
            </w:r>
            <w:r>
              <w:fldChar w:fldCharType="end"/>
            </w:r>
            <w:r>
              <w:t xml:space="preserve"> Sprechen: zusammenhängendes Sprechen</w:t>
            </w:r>
          </w:p>
          <w:p w:rsidR="005B198C" w:rsidRDefault="005B198C">
            <w:pPr>
              <w:spacing w:before="120" w:after="120"/>
              <w:jc w:val="left"/>
            </w:pPr>
            <w:r>
              <w:fldChar w:fldCharType="begin">
                <w:ffData>
                  <w:name w:val=""/>
                  <w:enabled/>
                  <w:calcOnExit w:val="0"/>
                  <w:checkBox>
                    <w:sizeAuto/>
                    <w:default w:val="1"/>
                  </w:checkBox>
                </w:ffData>
              </w:fldChar>
            </w:r>
            <w:r>
              <w:instrText xml:space="preserve"> FORMCHECKBOX </w:instrText>
            </w:r>
            <w:r w:rsidR="00D01E62">
              <w:fldChar w:fldCharType="separate"/>
            </w:r>
            <w:r>
              <w:fldChar w:fldCharType="end"/>
            </w:r>
            <w:r>
              <w:t xml:space="preserve"> Schreiben</w:t>
            </w:r>
          </w:p>
          <w:p w:rsidR="005B198C" w:rsidRDefault="005B198C">
            <w:pPr>
              <w:spacing w:before="120" w:after="120"/>
              <w:jc w:val="left"/>
            </w:pPr>
            <w:r>
              <w:fldChar w:fldCharType="begin">
                <w:ffData>
                  <w:name w:val=""/>
                  <w:enabled/>
                  <w:calcOnExit w:val="0"/>
                  <w:checkBox>
                    <w:sizeAuto/>
                    <w:default w:val="1"/>
                  </w:checkBox>
                </w:ffData>
              </w:fldChar>
            </w:r>
            <w:r>
              <w:instrText xml:space="preserve"> FORMCHECKBOX </w:instrText>
            </w:r>
            <w:r w:rsidR="00D01E62">
              <w:fldChar w:fldCharType="separate"/>
            </w:r>
            <w:r>
              <w:fldChar w:fldCharType="end"/>
            </w:r>
            <w:r>
              <w:t xml:space="preserve"> </w:t>
            </w:r>
            <w:r w:rsidRPr="00D01E62">
              <w:rPr>
                <w:highlight w:val="lightGray"/>
              </w:rPr>
              <w:t>Sprachmittlung</w:t>
            </w:r>
          </w:p>
          <w:p w:rsidR="005B198C" w:rsidRPr="006316A3" w:rsidRDefault="005B198C" w:rsidP="000D7D1A">
            <w:pPr>
              <w:spacing w:before="120" w:after="120"/>
              <w:jc w:val="left"/>
              <w:rPr>
                <w:b/>
                <w:bCs/>
              </w:rPr>
            </w:pPr>
            <w:r>
              <w:fldChar w:fldCharType="begin">
                <w:ffData>
                  <w:name w:val=""/>
                  <w:enabled/>
                  <w:calcOnExit w:val="0"/>
                  <w:checkBox>
                    <w:sizeAuto/>
                    <w:default w:val="0"/>
                  </w:checkBox>
                </w:ffData>
              </w:fldChar>
            </w:r>
            <w:r>
              <w:instrText xml:space="preserve"> FORMCHECKBOX </w:instrText>
            </w:r>
            <w:r w:rsidR="00D01E62">
              <w:fldChar w:fldCharType="separate"/>
            </w:r>
            <w:r>
              <w:fldChar w:fldCharType="end"/>
            </w:r>
            <w:r>
              <w:t xml:space="preserve"> Verfügen über sprachliche Mittel</w:t>
            </w:r>
          </w:p>
        </w:tc>
      </w:tr>
      <w:tr w:rsidR="005B198C" w:rsidRPr="006316A3">
        <w:trPr>
          <w:trHeight w:val="525"/>
        </w:trPr>
        <w:tc>
          <w:tcPr>
            <w:tcW w:w="2250" w:type="dxa"/>
            <w:vMerge/>
            <w:tcBorders>
              <w:left w:val="single" w:sz="8" w:space="0" w:color="000000"/>
            </w:tcBorders>
            <w:shd w:val="clear" w:color="auto" w:fill="C0C0C0"/>
          </w:tcPr>
          <w:p w:rsidR="005B198C" w:rsidRDefault="005B198C">
            <w:pPr>
              <w:spacing w:before="120" w:after="120"/>
              <w:jc w:val="left"/>
              <w:rPr>
                <w:b/>
                <w:bCs/>
              </w:rPr>
            </w:pPr>
          </w:p>
        </w:tc>
        <w:tc>
          <w:tcPr>
            <w:tcW w:w="7067" w:type="dxa"/>
            <w:tcBorders>
              <w:top w:val="single" w:sz="4" w:space="0" w:color="auto"/>
              <w:left w:val="single" w:sz="8" w:space="0" w:color="000000"/>
              <w:bottom w:val="single" w:sz="4" w:space="0" w:color="auto"/>
              <w:right w:val="single" w:sz="8" w:space="0" w:color="000000"/>
            </w:tcBorders>
          </w:tcPr>
          <w:p w:rsidR="005B198C" w:rsidRPr="000D7D1A" w:rsidRDefault="005B198C" w:rsidP="00396377">
            <w:pPr>
              <w:spacing w:before="120" w:after="120"/>
              <w:jc w:val="left"/>
              <w:rPr>
                <w:b/>
                <w:bCs/>
              </w:rPr>
            </w:pPr>
            <w:r>
              <w:fldChar w:fldCharType="begin">
                <w:ffData>
                  <w:name w:val=""/>
                  <w:enabled/>
                  <w:calcOnExit w:val="0"/>
                  <w:checkBox>
                    <w:sizeAuto/>
                    <w:default w:val="1"/>
                  </w:checkBox>
                </w:ffData>
              </w:fldChar>
            </w:r>
            <w:r>
              <w:instrText xml:space="preserve"> FORMCHECKBOX </w:instrText>
            </w:r>
            <w:r w:rsidR="00D01E62">
              <w:fldChar w:fldCharType="separate"/>
            </w:r>
            <w:r>
              <w:fldChar w:fldCharType="end"/>
            </w:r>
            <w:r>
              <w:t xml:space="preserve"> </w:t>
            </w:r>
            <w:r>
              <w:rPr>
                <w:b/>
                <w:bCs/>
              </w:rPr>
              <w:t>Interkulturelle kommunikative K</w:t>
            </w:r>
            <w:r w:rsidRPr="0099475D">
              <w:rPr>
                <w:b/>
                <w:bCs/>
              </w:rPr>
              <w:t>ompetenz</w:t>
            </w:r>
          </w:p>
        </w:tc>
      </w:tr>
      <w:tr w:rsidR="005B198C" w:rsidRPr="006316A3">
        <w:trPr>
          <w:trHeight w:val="453"/>
        </w:trPr>
        <w:tc>
          <w:tcPr>
            <w:tcW w:w="2250" w:type="dxa"/>
            <w:vMerge/>
            <w:tcBorders>
              <w:left w:val="single" w:sz="8" w:space="0" w:color="000000"/>
            </w:tcBorders>
            <w:shd w:val="clear" w:color="auto" w:fill="C0C0C0"/>
          </w:tcPr>
          <w:p w:rsidR="005B198C" w:rsidRDefault="005B198C">
            <w:pPr>
              <w:spacing w:before="120" w:after="120"/>
              <w:jc w:val="left"/>
              <w:rPr>
                <w:b/>
                <w:bCs/>
              </w:rPr>
            </w:pPr>
          </w:p>
        </w:tc>
        <w:tc>
          <w:tcPr>
            <w:tcW w:w="7067" w:type="dxa"/>
            <w:tcBorders>
              <w:top w:val="single" w:sz="4" w:space="0" w:color="auto"/>
              <w:left w:val="single" w:sz="8" w:space="0" w:color="000000"/>
              <w:bottom w:val="single" w:sz="4" w:space="0" w:color="auto"/>
              <w:right w:val="single" w:sz="8" w:space="0" w:color="000000"/>
            </w:tcBorders>
          </w:tcPr>
          <w:p w:rsidR="005B198C" w:rsidRDefault="005B198C" w:rsidP="000D7D1A">
            <w:pPr>
              <w:spacing w:before="120" w:after="120"/>
              <w:jc w:val="left"/>
            </w:pPr>
            <w:r>
              <w:fldChar w:fldCharType="begin">
                <w:ffData>
                  <w:name w:val="Control0"/>
                  <w:enabled/>
                  <w:calcOnExit w:val="0"/>
                  <w:checkBox>
                    <w:sizeAuto/>
                    <w:default w:val="0"/>
                  </w:checkBox>
                </w:ffData>
              </w:fldChar>
            </w:r>
            <w:r>
              <w:instrText xml:space="preserve"> FORMCHECKBOX </w:instrText>
            </w:r>
            <w:r w:rsidR="00D01E62">
              <w:fldChar w:fldCharType="separate"/>
            </w:r>
            <w:r>
              <w:fldChar w:fldCharType="end"/>
            </w:r>
            <w:r>
              <w:t xml:space="preserve"> </w:t>
            </w:r>
            <w:r w:rsidRPr="0099475D">
              <w:rPr>
                <w:b/>
                <w:bCs/>
              </w:rPr>
              <w:t>Text- und Medienkompetenz</w:t>
            </w:r>
          </w:p>
        </w:tc>
      </w:tr>
      <w:tr w:rsidR="005B198C" w:rsidRPr="006316A3">
        <w:trPr>
          <w:trHeight w:val="435"/>
        </w:trPr>
        <w:tc>
          <w:tcPr>
            <w:tcW w:w="2250" w:type="dxa"/>
            <w:vMerge/>
            <w:tcBorders>
              <w:left w:val="single" w:sz="8" w:space="0" w:color="000000"/>
            </w:tcBorders>
            <w:shd w:val="clear" w:color="auto" w:fill="C0C0C0"/>
          </w:tcPr>
          <w:p w:rsidR="005B198C" w:rsidRDefault="005B198C">
            <w:pPr>
              <w:spacing w:before="120" w:after="120"/>
              <w:jc w:val="left"/>
              <w:rPr>
                <w:b/>
                <w:bCs/>
              </w:rPr>
            </w:pPr>
          </w:p>
        </w:tc>
        <w:tc>
          <w:tcPr>
            <w:tcW w:w="7067" w:type="dxa"/>
            <w:tcBorders>
              <w:top w:val="single" w:sz="4" w:space="0" w:color="auto"/>
              <w:left w:val="single" w:sz="8" w:space="0" w:color="000000"/>
              <w:bottom w:val="single" w:sz="4" w:space="0" w:color="auto"/>
              <w:right w:val="single" w:sz="8" w:space="0" w:color="000000"/>
            </w:tcBorders>
          </w:tcPr>
          <w:p w:rsidR="005B198C" w:rsidRDefault="005B198C" w:rsidP="000D7D1A">
            <w:pPr>
              <w:spacing w:before="120" w:after="120"/>
              <w:jc w:val="left"/>
            </w:pPr>
            <w:r>
              <w:fldChar w:fldCharType="begin">
                <w:ffData>
                  <w:name w:val=""/>
                  <w:enabled/>
                  <w:calcOnExit w:val="0"/>
                  <w:checkBox>
                    <w:sizeAuto/>
                    <w:default w:val="0"/>
                  </w:checkBox>
                </w:ffData>
              </w:fldChar>
            </w:r>
            <w:r>
              <w:instrText xml:space="preserve"> FORMCHECKBOX </w:instrText>
            </w:r>
            <w:r w:rsidR="00D01E62">
              <w:fldChar w:fldCharType="separate"/>
            </w:r>
            <w:r>
              <w:fldChar w:fldCharType="end"/>
            </w:r>
            <w:r>
              <w:t xml:space="preserve"> </w:t>
            </w:r>
            <w:r w:rsidRPr="0099475D">
              <w:rPr>
                <w:b/>
                <w:bCs/>
              </w:rPr>
              <w:t>Sprachbewusstheit</w:t>
            </w:r>
          </w:p>
        </w:tc>
      </w:tr>
      <w:tr w:rsidR="005B198C" w:rsidRPr="006316A3">
        <w:trPr>
          <w:trHeight w:val="465"/>
        </w:trPr>
        <w:tc>
          <w:tcPr>
            <w:tcW w:w="2250" w:type="dxa"/>
            <w:vMerge/>
            <w:tcBorders>
              <w:left w:val="single" w:sz="8" w:space="0" w:color="000000"/>
              <w:bottom w:val="single" w:sz="4" w:space="0" w:color="000000"/>
            </w:tcBorders>
            <w:shd w:val="clear" w:color="auto" w:fill="C0C0C0"/>
          </w:tcPr>
          <w:p w:rsidR="005B198C" w:rsidRDefault="005B198C">
            <w:pPr>
              <w:spacing w:before="120" w:after="120"/>
              <w:jc w:val="left"/>
              <w:rPr>
                <w:b/>
                <w:bCs/>
              </w:rPr>
            </w:pPr>
          </w:p>
        </w:tc>
        <w:tc>
          <w:tcPr>
            <w:tcW w:w="7067" w:type="dxa"/>
            <w:tcBorders>
              <w:top w:val="single" w:sz="4" w:space="0" w:color="auto"/>
              <w:left w:val="single" w:sz="8" w:space="0" w:color="000000"/>
              <w:bottom w:val="single" w:sz="4" w:space="0" w:color="000000"/>
              <w:right w:val="single" w:sz="8" w:space="0" w:color="000000"/>
            </w:tcBorders>
          </w:tcPr>
          <w:p w:rsidR="005B198C" w:rsidRDefault="005B198C" w:rsidP="000D7D1A">
            <w:pPr>
              <w:spacing w:before="120" w:after="120"/>
              <w:jc w:val="left"/>
            </w:pPr>
            <w:r>
              <w:fldChar w:fldCharType="begin">
                <w:ffData>
                  <w:name w:val=""/>
                  <w:enabled/>
                  <w:calcOnExit w:val="0"/>
                  <w:checkBox>
                    <w:sizeAuto/>
                    <w:default w:val="1"/>
                  </w:checkBox>
                </w:ffData>
              </w:fldChar>
            </w:r>
            <w:r>
              <w:instrText xml:space="preserve"> FORMCHECKBOX </w:instrText>
            </w:r>
            <w:r w:rsidR="00D01E62">
              <w:fldChar w:fldCharType="separate"/>
            </w:r>
            <w:r>
              <w:fldChar w:fldCharType="end"/>
            </w:r>
            <w:r>
              <w:t xml:space="preserve"> </w:t>
            </w:r>
            <w:r w:rsidRPr="0099475D">
              <w:rPr>
                <w:b/>
                <w:bCs/>
              </w:rPr>
              <w:t>Sprachlernkompetenz</w:t>
            </w:r>
          </w:p>
        </w:tc>
      </w:tr>
      <w:tr w:rsidR="005B198C">
        <w:trPr>
          <w:trHeight w:val="255"/>
        </w:trPr>
        <w:tc>
          <w:tcPr>
            <w:tcW w:w="2250" w:type="dxa"/>
            <w:vMerge w:val="restart"/>
            <w:tcBorders>
              <w:top w:val="single" w:sz="4" w:space="0" w:color="000000"/>
              <w:left w:val="single" w:sz="8" w:space="0" w:color="000000"/>
              <w:bottom w:val="single" w:sz="4" w:space="0" w:color="000000"/>
            </w:tcBorders>
            <w:shd w:val="clear" w:color="auto" w:fill="C0C0C0"/>
          </w:tcPr>
          <w:p w:rsidR="005B198C" w:rsidRDefault="005B198C">
            <w:pPr>
              <w:spacing w:before="120" w:after="120"/>
              <w:jc w:val="left"/>
            </w:pPr>
            <w:r w:rsidRPr="00A26FB4">
              <w:rPr>
                <w:b/>
                <w:bCs/>
              </w:rPr>
              <w:t>Bezug zum KLP</w:t>
            </w:r>
            <w:r>
              <w:rPr>
                <w:b/>
                <w:bCs/>
                <w:lang w:val="en-GB"/>
              </w:rPr>
              <w:t xml:space="preserve">: </w:t>
            </w:r>
          </w:p>
        </w:tc>
        <w:tc>
          <w:tcPr>
            <w:tcW w:w="7067" w:type="dxa"/>
            <w:tcBorders>
              <w:top w:val="single" w:sz="4" w:space="0" w:color="000000"/>
              <w:left w:val="single" w:sz="8" w:space="0" w:color="000000"/>
              <w:bottom w:val="single" w:sz="4" w:space="0" w:color="000000"/>
              <w:right w:val="single" w:sz="8" w:space="0" w:color="000000"/>
            </w:tcBorders>
            <w:shd w:val="clear" w:color="auto" w:fill="FFFFFF"/>
          </w:tcPr>
          <w:p w:rsidR="005B198C" w:rsidRDefault="005B198C" w:rsidP="00002565">
            <w:pPr>
              <w:spacing w:before="120" w:after="120"/>
              <w:rPr>
                <w:b/>
                <w:bCs/>
              </w:rPr>
            </w:pPr>
            <w:r>
              <w:t xml:space="preserve">Lernen erfolgt kumulativ. Das Aufgabenbeispiel illustriert, wie am </w:t>
            </w:r>
            <w:r w:rsidR="00002565">
              <w:t xml:space="preserve">fiktiven </w:t>
            </w:r>
            <w:r>
              <w:t>Schiller-Gymnasium im Rahmen des zweiten Unterrichtsvorhabens des ersten Halbjahres der Q2 (LK</w:t>
            </w:r>
            <w:r w:rsidRPr="00903D0D">
              <w:t>) die o.g. Kompetenzen und Teilkompetenzen erweitert und vertieft werden können.</w:t>
            </w:r>
          </w:p>
        </w:tc>
      </w:tr>
      <w:tr w:rsidR="005B198C">
        <w:trPr>
          <w:trHeight w:val="255"/>
        </w:trPr>
        <w:tc>
          <w:tcPr>
            <w:tcW w:w="2250" w:type="dxa"/>
            <w:vMerge/>
            <w:tcBorders>
              <w:top w:val="single" w:sz="4" w:space="0" w:color="000000"/>
              <w:left w:val="single" w:sz="8" w:space="0" w:color="000000"/>
              <w:bottom w:val="single" w:sz="4" w:space="0" w:color="000000"/>
            </w:tcBorders>
            <w:shd w:val="clear" w:color="auto" w:fill="C0C0C0"/>
          </w:tcPr>
          <w:p w:rsidR="005B198C" w:rsidRDefault="005B198C">
            <w:pPr>
              <w:snapToGrid w:val="0"/>
              <w:spacing w:before="120" w:after="120"/>
              <w:jc w:val="left"/>
              <w:rPr>
                <w:b/>
                <w:bCs/>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rsidR="005B198C" w:rsidRPr="00A26FB4" w:rsidRDefault="005B198C" w:rsidP="0099475D">
            <w:pPr>
              <w:spacing w:before="120" w:after="120"/>
              <w:jc w:val="left"/>
              <w:rPr>
                <w:b/>
                <w:bCs/>
              </w:rPr>
            </w:pPr>
            <w:r w:rsidRPr="00A26FB4">
              <w:rPr>
                <w:b/>
                <w:bCs/>
              </w:rPr>
              <w:t>Funktionale kommunikative Kompetenz</w:t>
            </w:r>
          </w:p>
        </w:tc>
      </w:tr>
      <w:tr w:rsidR="005B198C">
        <w:trPr>
          <w:trHeight w:val="255"/>
        </w:trPr>
        <w:tc>
          <w:tcPr>
            <w:tcW w:w="2250" w:type="dxa"/>
            <w:vMerge/>
            <w:tcBorders>
              <w:top w:val="single" w:sz="4" w:space="0" w:color="000000"/>
              <w:left w:val="single" w:sz="8" w:space="0" w:color="000000"/>
              <w:bottom w:val="single" w:sz="4" w:space="0" w:color="000000"/>
            </w:tcBorders>
            <w:shd w:val="clear" w:color="auto" w:fill="C0C0C0"/>
          </w:tcPr>
          <w:p w:rsidR="005B198C" w:rsidRDefault="005B198C">
            <w:pPr>
              <w:snapToGrid w:val="0"/>
              <w:spacing w:before="120" w:after="120"/>
              <w:jc w:val="left"/>
              <w:rPr>
                <w:b/>
                <w:bCs/>
                <w:lang w:val="en-GB"/>
              </w:rPr>
            </w:pPr>
          </w:p>
        </w:tc>
        <w:tc>
          <w:tcPr>
            <w:tcW w:w="7067" w:type="dxa"/>
            <w:tcBorders>
              <w:top w:val="single" w:sz="4" w:space="0" w:color="000000"/>
              <w:left w:val="single" w:sz="8" w:space="0" w:color="000000"/>
              <w:bottom w:val="single" w:sz="4" w:space="0" w:color="000000"/>
              <w:right w:val="single" w:sz="8" w:space="0" w:color="000000"/>
            </w:tcBorders>
          </w:tcPr>
          <w:p w:rsidR="005B198C" w:rsidRPr="003E4F80" w:rsidRDefault="005B198C" w:rsidP="00392724">
            <w:pPr>
              <w:pStyle w:val="einzug-1"/>
              <w:spacing w:before="120"/>
              <w:ind w:left="284" w:hanging="284"/>
              <w:rPr>
                <w:b/>
                <w:bCs/>
              </w:rPr>
            </w:pPr>
            <w:r w:rsidRPr="003E4F80">
              <w:rPr>
                <w:b/>
                <w:bCs/>
              </w:rPr>
              <w:t>SPRACHMITTLUNG</w:t>
            </w:r>
          </w:p>
          <w:p w:rsidR="005B198C" w:rsidRPr="003E4F80" w:rsidRDefault="005B198C" w:rsidP="00392724">
            <w:pPr>
              <w:pStyle w:val="einzug-1"/>
              <w:tabs>
                <w:tab w:val="clear" w:pos="284"/>
                <w:tab w:val="left" w:pos="57"/>
              </w:tabs>
              <w:spacing w:before="120"/>
              <w:rPr>
                <w:b/>
                <w:bCs/>
              </w:rPr>
            </w:pPr>
            <w:r w:rsidRPr="003E4F80">
              <w:rPr>
                <w:b/>
                <w:bCs/>
              </w:rPr>
              <w:t xml:space="preserve">Die Schülerinnen und Schüler können in zweisprachigen Kommunikationssituationen die wesentlichen Inhalte von Äußerungen und authentischen Texten auch zu weniger vertrauten Themen sinngemäß für einen bestimmten Zweck adressatengerecht und situationsangemessen mündlich und schriftlich in der jeweils anderen Sprache </w:t>
            </w:r>
            <w:r w:rsidRPr="003E4F80">
              <w:rPr>
                <w:b/>
                <w:bCs/>
              </w:rPr>
              <w:lastRenderedPageBreak/>
              <w:t>zusammenfassend wiedergeben.</w:t>
            </w:r>
          </w:p>
          <w:p w:rsidR="005B198C" w:rsidRPr="003E4F80" w:rsidRDefault="005B198C" w:rsidP="00AB3413">
            <w:pPr>
              <w:pStyle w:val="einzug-1"/>
              <w:tabs>
                <w:tab w:val="clear" w:pos="284"/>
                <w:tab w:val="left" w:pos="57"/>
              </w:tabs>
              <w:spacing w:before="120"/>
            </w:pPr>
            <w:r w:rsidRPr="003E4F80">
              <w:t>Sie können</w:t>
            </w:r>
            <w:bookmarkStart w:id="0" w:name="OLE_LINK6"/>
            <w:bookmarkStart w:id="1" w:name="OLE_LINK7"/>
            <w:bookmarkStart w:id="2" w:name="OLE_LINK10"/>
          </w:p>
          <w:p w:rsidR="005B198C" w:rsidRPr="003E4F80" w:rsidRDefault="005B198C" w:rsidP="00AB3413">
            <w:pPr>
              <w:pStyle w:val="einzug-1"/>
              <w:numPr>
                <w:ilvl w:val="0"/>
                <w:numId w:val="18"/>
              </w:numPr>
              <w:tabs>
                <w:tab w:val="clear" w:pos="720"/>
                <w:tab w:val="num" w:pos="482"/>
              </w:tabs>
              <w:spacing w:before="120"/>
              <w:ind w:left="482" w:hanging="283"/>
            </w:pPr>
            <w:r w:rsidRPr="003E4F80">
              <w:t>den Inhalt von längeren Äußerungen und Texten – ggf. unter Verwendung von Hilfsmitteln – situationsangemessen in die jeweilige Zielsprache schriftlich sprachmittelnd sinngemäß übertragen,</w:t>
            </w:r>
          </w:p>
          <w:p w:rsidR="005B198C" w:rsidRPr="003E4F80" w:rsidRDefault="005B198C" w:rsidP="00AB3413">
            <w:pPr>
              <w:pStyle w:val="einzug-1"/>
              <w:numPr>
                <w:ilvl w:val="0"/>
                <w:numId w:val="18"/>
              </w:numPr>
              <w:tabs>
                <w:tab w:val="clear" w:pos="720"/>
                <w:tab w:val="num" w:pos="482"/>
              </w:tabs>
              <w:spacing w:before="120"/>
              <w:ind w:left="482" w:hanging="283"/>
            </w:pPr>
            <w:r w:rsidRPr="003E4F80">
              <w:t>ggf. auf Nachfragen eingehen sowie unter Berücksichtigung des Welt- und Kulturwissens des jeweiligen Kommunikationspartners mögliche Missverständnisse antizipieren und für das Verstehen erforderliche Erläuterungen hinzufügen.</w:t>
            </w:r>
            <w:bookmarkEnd w:id="0"/>
            <w:bookmarkEnd w:id="1"/>
            <w:bookmarkEnd w:id="2"/>
          </w:p>
          <w:p w:rsidR="005B198C" w:rsidRPr="003E4F80" w:rsidRDefault="005B198C" w:rsidP="00D31E15">
            <w:pPr>
              <w:pStyle w:val="einzug-1"/>
              <w:spacing w:before="120"/>
            </w:pPr>
          </w:p>
          <w:p w:rsidR="005B198C" w:rsidRPr="003E4F80" w:rsidRDefault="005B198C" w:rsidP="00D31E15">
            <w:pPr>
              <w:pStyle w:val="einzug-1"/>
              <w:spacing w:before="120"/>
              <w:rPr>
                <w:b/>
                <w:bCs/>
              </w:rPr>
            </w:pPr>
            <w:r w:rsidRPr="003E4F80">
              <w:rPr>
                <w:b/>
                <w:bCs/>
              </w:rPr>
              <w:t xml:space="preserve">SCHREIBEN </w:t>
            </w:r>
          </w:p>
          <w:p w:rsidR="005B198C" w:rsidRPr="003E4F80" w:rsidRDefault="005B198C" w:rsidP="00D31E15">
            <w:pPr>
              <w:pStyle w:val="einzug-1"/>
              <w:spacing w:before="120"/>
            </w:pPr>
            <w:r w:rsidRPr="003E4F80">
              <w:rPr>
                <w:b/>
                <w:bCs/>
              </w:rPr>
              <w:t>Die Schülerinnen und Schüler können zusammenhängende Texte zu einem breiten Spektrum von auch weniger vertrauten Themen intentions- und adressatengerecht verfassen.</w:t>
            </w:r>
            <w:bookmarkStart w:id="3" w:name="OLE_LINK11"/>
            <w:r w:rsidRPr="003E4F80">
              <w:rPr>
                <w:b/>
                <w:bCs/>
              </w:rPr>
              <w:t xml:space="preserve"> </w:t>
            </w:r>
          </w:p>
          <w:bookmarkEnd w:id="3"/>
          <w:p w:rsidR="005B198C" w:rsidRPr="003E4F80" w:rsidRDefault="005B198C" w:rsidP="00AB3413">
            <w:pPr>
              <w:pStyle w:val="einzug-1"/>
              <w:spacing w:before="120"/>
            </w:pPr>
            <w:r w:rsidRPr="003E4F80">
              <w:t>Sie können</w:t>
            </w:r>
          </w:p>
          <w:p w:rsidR="005B198C" w:rsidRPr="003E4F80" w:rsidRDefault="005B198C" w:rsidP="00E52DBA">
            <w:pPr>
              <w:pStyle w:val="einzug-1"/>
              <w:numPr>
                <w:ilvl w:val="0"/>
                <w:numId w:val="18"/>
              </w:numPr>
              <w:tabs>
                <w:tab w:val="clear" w:pos="720"/>
                <w:tab w:val="num" w:pos="482"/>
              </w:tabs>
              <w:spacing w:before="120"/>
              <w:ind w:left="482" w:hanging="283"/>
            </w:pPr>
            <w:r w:rsidRPr="003E4F80">
              <w:t>unter Beachtung der Textsortenmerkmale ein breites Spektrum von Sach- und Gebrauchstexten verfassen und dabei vielfältige Mitteilungsabsichten effektiv realisieren,</w:t>
            </w:r>
          </w:p>
          <w:p w:rsidR="005B198C" w:rsidRPr="003E4F80" w:rsidRDefault="005B198C" w:rsidP="00AB3413">
            <w:pPr>
              <w:pStyle w:val="einzug-1"/>
              <w:numPr>
                <w:ilvl w:val="0"/>
                <w:numId w:val="18"/>
              </w:numPr>
              <w:tabs>
                <w:tab w:val="clear" w:pos="720"/>
                <w:tab w:val="num" w:pos="482"/>
              </w:tabs>
              <w:spacing w:before="120"/>
              <w:ind w:left="482" w:hanging="283"/>
            </w:pPr>
            <w:r w:rsidRPr="003E4F80">
              <w:t>ihre Texte durch den Einsatz eines angemessenen Stils und Registers sowie adäquater Mittel der Leserleitung gestalten,</w:t>
            </w:r>
          </w:p>
          <w:p w:rsidR="005B198C" w:rsidRPr="003E4F80" w:rsidRDefault="005B198C" w:rsidP="00D31E15">
            <w:pPr>
              <w:pStyle w:val="einzug-1"/>
              <w:numPr>
                <w:ilvl w:val="0"/>
                <w:numId w:val="18"/>
              </w:numPr>
              <w:tabs>
                <w:tab w:val="clear" w:pos="720"/>
                <w:tab w:val="num" w:pos="482"/>
              </w:tabs>
              <w:spacing w:before="120"/>
              <w:ind w:left="482" w:hanging="283"/>
            </w:pPr>
            <w:r w:rsidRPr="003E4F80">
              <w:t>ihre Texte im Hinblick auf Inhalt, Sprache und Form differenziert planen, unter Nutzung ihrer Planung verfassen und auch im Detail überarbeiten.</w:t>
            </w:r>
          </w:p>
        </w:tc>
      </w:tr>
      <w:tr w:rsidR="005B198C">
        <w:trPr>
          <w:trHeight w:val="255"/>
        </w:trPr>
        <w:tc>
          <w:tcPr>
            <w:tcW w:w="2250" w:type="dxa"/>
            <w:vMerge/>
            <w:tcBorders>
              <w:top w:val="single" w:sz="4" w:space="0" w:color="000000"/>
              <w:left w:val="single" w:sz="8" w:space="0" w:color="000000"/>
              <w:bottom w:val="single" w:sz="4" w:space="0" w:color="000000"/>
            </w:tcBorders>
            <w:shd w:val="clear" w:color="auto" w:fill="C0C0C0"/>
          </w:tcPr>
          <w:p w:rsidR="005B198C" w:rsidRDefault="005B198C">
            <w:pPr>
              <w:snapToGrid w:val="0"/>
              <w:spacing w:before="120" w:after="120"/>
              <w:jc w:val="left"/>
              <w:rPr>
                <w:b/>
                <w:bCs/>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rsidR="005B198C" w:rsidRPr="00A26FB4" w:rsidRDefault="005B198C">
            <w:pPr>
              <w:spacing w:before="120" w:after="120"/>
              <w:jc w:val="left"/>
              <w:rPr>
                <w:b/>
                <w:bCs/>
              </w:rPr>
            </w:pPr>
            <w:r w:rsidRPr="00A26FB4">
              <w:rPr>
                <w:b/>
                <w:bCs/>
              </w:rPr>
              <w:t>Interkulturelle kommunikative Kompetenz</w:t>
            </w:r>
          </w:p>
        </w:tc>
      </w:tr>
      <w:tr w:rsidR="005B198C">
        <w:trPr>
          <w:trHeight w:val="255"/>
        </w:trPr>
        <w:tc>
          <w:tcPr>
            <w:tcW w:w="2250" w:type="dxa"/>
            <w:vMerge/>
            <w:tcBorders>
              <w:top w:val="single" w:sz="4" w:space="0" w:color="000000"/>
              <w:left w:val="single" w:sz="8" w:space="0" w:color="000000"/>
            </w:tcBorders>
            <w:shd w:val="clear" w:color="auto" w:fill="C0C0C0"/>
          </w:tcPr>
          <w:p w:rsidR="005B198C" w:rsidRDefault="005B198C">
            <w:pPr>
              <w:snapToGrid w:val="0"/>
              <w:spacing w:before="120" w:after="120"/>
              <w:jc w:val="left"/>
              <w:rPr>
                <w:b/>
                <w:bCs/>
                <w:lang w:val="en-GB"/>
              </w:rPr>
            </w:pPr>
          </w:p>
        </w:tc>
        <w:tc>
          <w:tcPr>
            <w:tcW w:w="7067" w:type="dxa"/>
            <w:tcBorders>
              <w:top w:val="single" w:sz="4" w:space="0" w:color="000000"/>
              <w:left w:val="single" w:sz="8" w:space="0" w:color="000000"/>
              <w:bottom w:val="single" w:sz="4" w:space="0" w:color="000000"/>
              <w:right w:val="single" w:sz="8" w:space="0" w:color="000000"/>
            </w:tcBorders>
          </w:tcPr>
          <w:p w:rsidR="005B198C" w:rsidRPr="003E4F80" w:rsidRDefault="005B198C" w:rsidP="00E52DBA">
            <w:pPr>
              <w:pStyle w:val="einzug-1"/>
              <w:spacing w:before="120" w:after="120"/>
              <w:rPr>
                <w:b/>
                <w:bCs/>
              </w:rPr>
            </w:pPr>
            <w:r w:rsidRPr="003E4F80">
              <w:rPr>
                <w:b/>
                <w:bCs/>
              </w:rPr>
              <w:t>Die Schülerinnen und Schüler können in interkulturellen, sprachlich anspruchsvollen Kommunikationssituationen sowohl in direkten persönlichen Begegnungen als auch im Umgang mit englischsprachigen Texten und Medien sicher und flexibel handeln. ...</w:t>
            </w:r>
          </w:p>
          <w:p w:rsidR="005B198C" w:rsidRPr="003E4F80" w:rsidRDefault="005B198C" w:rsidP="00E52DBA">
            <w:pPr>
              <w:pStyle w:val="einzug-1"/>
              <w:spacing w:before="120" w:after="120"/>
              <w:rPr>
                <w:b/>
                <w:bCs/>
              </w:rPr>
            </w:pPr>
            <w:r w:rsidRPr="003E4F80">
              <w:rPr>
                <w:b/>
                <w:bCs/>
              </w:rPr>
              <w:t>SOZIOKULTURELLES ORIENTIERUNGSWISSEN</w:t>
            </w:r>
          </w:p>
          <w:p w:rsidR="005B198C" w:rsidRPr="003E4F80" w:rsidRDefault="005B198C" w:rsidP="00E52DBA">
            <w:pPr>
              <w:pStyle w:val="einzug-1"/>
              <w:spacing w:before="120" w:after="120"/>
            </w:pPr>
            <w:r w:rsidRPr="003E4F80">
              <w:t>Sie greifen sicher und gezielt auf ihr vertieftes Orientierungswissen zu folgenden Themenfeldern anglophoner Bezugskulturen zurück:</w:t>
            </w:r>
          </w:p>
          <w:p w:rsidR="005B198C" w:rsidRPr="003E4F80" w:rsidRDefault="005B198C" w:rsidP="00420B30">
            <w:pPr>
              <w:pStyle w:val="einzug-1"/>
              <w:spacing w:before="120" w:after="120"/>
              <w:rPr>
                <w:b/>
                <w:bCs/>
              </w:rPr>
            </w:pPr>
            <w:r w:rsidRPr="003E4F80">
              <w:rPr>
                <w:b/>
                <w:bCs/>
              </w:rPr>
              <w:t>Globale Herausforderungen und Zukunftsvisionen</w:t>
            </w:r>
          </w:p>
          <w:p w:rsidR="005B198C" w:rsidRPr="003E4F80" w:rsidRDefault="005B198C" w:rsidP="00AB3413">
            <w:pPr>
              <w:pStyle w:val="einzug-1"/>
              <w:numPr>
                <w:ilvl w:val="0"/>
                <w:numId w:val="18"/>
              </w:numPr>
              <w:tabs>
                <w:tab w:val="clear" w:pos="720"/>
                <w:tab w:val="num" w:pos="482"/>
              </w:tabs>
              <w:ind w:left="482" w:hanging="283"/>
            </w:pPr>
            <w:r w:rsidRPr="003E4F80">
              <w:t xml:space="preserve">Chancen und Risiken der Globalisierung  </w:t>
            </w:r>
          </w:p>
          <w:p w:rsidR="005B198C" w:rsidRPr="003E4F80" w:rsidRDefault="005B198C" w:rsidP="00E52DBA">
            <w:pPr>
              <w:pStyle w:val="einzug-1"/>
              <w:spacing w:before="120" w:after="120"/>
              <w:rPr>
                <w:sz w:val="20"/>
                <w:szCs w:val="20"/>
                <w:u w:val="single"/>
              </w:rPr>
            </w:pPr>
            <w:r w:rsidRPr="003E4F80">
              <w:rPr>
                <w:sz w:val="20"/>
                <w:szCs w:val="20"/>
                <w:u w:val="single"/>
              </w:rPr>
              <w:t>ERGÄNZEND:</w:t>
            </w:r>
          </w:p>
          <w:p w:rsidR="005B198C" w:rsidRPr="003E4F80" w:rsidRDefault="005B198C" w:rsidP="00244E37">
            <w:pPr>
              <w:pStyle w:val="einzug-1"/>
              <w:numPr>
                <w:ilvl w:val="0"/>
                <w:numId w:val="18"/>
              </w:numPr>
              <w:tabs>
                <w:tab w:val="clear" w:pos="720"/>
                <w:tab w:val="num" w:pos="482"/>
              </w:tabs>
              <w:ind w:left="482" w:hanging="283"/>
            </w:pPr>
            <w:r w:rsidRPr="003E4F80">
              <w:t xml:space="preserve">Fortschritt und Ethik in der modernen Gesellschaft  </w:t>
            </w:r>
          </w:p>
          <w:p w:rsidR="005B198C" w:rsidRPr="003E4F80" w:rsidRDefault="005B198C" w:rsidP="00392724">
            <w:pPr>
              <w:pStyle w:val="einzug-1"/>
              <w:spacing w:before="120" w:after="120"/>
            </w:pPr>
            <w:r w:rsidRPr="003E4F80">
              <w:lastRenderedPageBreak/>
              <w:t>Sie können</w:t>
            </w:r>
          </w:p>
          <w:p w:rsidR="005B198C" w:rsidRPr="003E4F80" w:rsidRDefault="005B198C" w:rsidP="00244E37">
            <w:pPr>
              <w:pStyle w:val="einzug-1"/>
              <w:numPr>
                <w:ilvl w:val="0"/>
                <w:numId w:val="18"/>
              </w:numPr>
              <w:tabs>
                <w:tab w:val="clear" w:pos="720"/>
                <w:tab w:val="num" w:pos="482"/>
              </w:tabs>
              <w:spacing w:before="120"/>
              <w:ind w:left="482" w:hanging="284"/>
            </w:pPr>
            <w:r w:rsidRPr="003E4F80">
              <w:t xml:space="preserve">ihr vertieftes soziokulturelles Orientierungswissen nach Bedarf selbstständig festigen und gezielt erweitern, indem sie ihre Wissensbestände vielfältig vernetzen und sich neues Wissen aus englischsprachigen Quellen aneignen, </w:t>
            </w:r>
          </w:p>
          <w:p w:rsidR="005B198C" w:rsidRPr="003E4F80" w:rsidRDefault="005B198C" w:rsidP="00244E37">
            <w:pPr>
              <w:pStyle w:val="einzug-1"/>
              <w:numPr>
                <w:ilvl w:val="0"/>
                <w:numId w:val="18"/>
              </w:numPr>
              <w:tabs>
                <w:tab w:val="clear" w:pos="720"/>
                <w:tab w:val="num" w:pos="482"/>
              </w:tabs>
              <w:spacing w:before="120"/>
              <w:ind w:left="482" w:hanging="284"/>
            </w:pPr>
            <w:r w:rsidRPr="003E4F80">
              <w:t>ihr vertieftes soziokulturelles Orientierungswissen kritisch reflektieren und dabei die jeweilige kulturelle, weltanschauliche und historische Perspektive berücksichtigen.</w:t>
            </w:r>
          </w:p>
          <w:p w:rsidR="005B198C" w:rsidRPr="003E4F80" w:rsidRDefault="005B198C" w:rsidP="00392724">
            <w:pPr>
              <w:pStyle w:val="einzug-1"/>
              <w:spacing w:before="120" w:after="120"/>
              <w:rPr>
                <w:b/>
                <w:bCs/>
              </w:rPr>
            </w:pPr>
            <w:r w:rsidRPr="003E4F80">
              <w:rPr>
                <w:b/>
                <w:bCs/>
              </w:rPr>
              <w:t>INTERKULTURELLE EINSTELLUNGEN UND BEWUSSTHEIT</w:t>
            </w:r>
          </w:p>
          <w:p w:rsidR="005B198C" w:rsidRPr="003E4F80" w:rsidRDefault="005B198C" w:rsidP="00392724">
            <w:pPr>
              <w:pStyle w:val="einzug-1"/>
              <w:spacing w:before="120" w:after="120"/>
            </w:pPr>
            <w:r w:rsidRPr="003E4F80">
              <w:t>Sie können</w:t>
            </w:r>
          </w:p>
          <w:p w:rsidR="005B198C" w:rsidRPr="003E4F80" w:rsidRDefault="005B198C" w:rsidP="00244E37">
            <w:pPr>
              <w:pStyle w:val="einzug-1"/>
              <w:numPr>
                <w:ilvl w:val="0"/>
                <w:numId w:val="18"/>
              </w:numPr>
              <w:tabs>
                <w:tab w:val="clear" w:pos="720"/>
                <w:tab w:val="num" w:pos="482"/>
              </w:tabs>
              <w:spacing w:before="120"/>
              <w:ind w:left="482" w:hanging="284"/>
            </w:pPr>
            <w:r w:rsidRPr="003E4F80">
              <w:t>sich kultureller und sprachlicher Vielfalt und der damit verbundenen Chancen und Herausforderungen bewusst werden und neuen Erfahrungen mit fremder Kultur sowie sprachlich herausfordernden Situationen grundsätzlich offen und lernbereit begegnen,</w:t>
            </w:r>
          </w:p>
          <w:p w:rsidR="005B198C" w:rsidRPr="003E4F80" w:rsidRDefault="005B198C" w:rsidP="00244E37">
            <w:pPr>
              <w:pStyle w:val="einzug-1"/>
              <w:numPr>
                <w:ilvl w:val="0"/>
                <w:numId w:val="18"/>
              </w:numPr>
              <w:tabs>
                <w:tab w:val="clear" w:pos="720"/>
                <w:tab w:val="num" w:pos="482"/>
              </w:tabs>
              <w:spacing w:before="120"/>
              <w:ind w:left="482" w:hanging="284"/>
            </w:pPr>
            <w:r w:rsidRPr="003E4F80">
              <w:t>sich fremdkultureller Werte, Normen und Verhaltensweisen, die von den eigenen Vorstellungen abweichen, bewusst werden und ihnen mit Toleranz begegnen, sofern Grundprinzipien friedlichen und respektvollen Zusammenlebens nicht verletzt werden,</w:t>
            </w:r>
          </w:p>
          <w:p w:rsidR="005B198C" w:rsidRPr="003E4F80" w:rsidRDefault="005B198C" w:rsidP="00244E37">
            <w:pPr>
              <w:pStyle w:val="einzug-1"/>
              <w:numPr>
                <w:ilvl w:val="0"/>
                <w:numId w:val="18"/>
              </w:numPr>
              <w:tabs>
                <w:tab w:val="clear" w:pos="720"/>
                <w:tab w:val="num" w:pos="482"/>
              </w:tabs>
              <w:spacing w:before="120"/>
              <w:ind w:left="482" w:hanging="284"/>
            </w:pPr>
            <w:r w:rsidRPr="003E4F80">
              <w:t>sich ihre eigenen kulturgeprägten Wahrnehmungen und Einstellungen bewusst machen, sie auch aus Gender-Perspektive in Frage stellen und ggf. relativieren bzw. revidieren.</w:t>
            </w:r>
          </w:p>
          <w:p w:rsidR="005B198C" w:rsidRPr="003E4F80" w:rsidRDefault="005B198C" w:rsidP="00392724">
            <w:pPr>
              <w:pStyle w:val="einzug-1"/>
              <w:spacing w:before="120" w:after="120"/>
              <w:rPr>
                <w:b/>
                <w:bCs/>
              </w:rPr>
            </w:pPr>
            <w:r w:rsidRPr="003E4F80">
              <w:rPr>
                <w:b/>
                <w:bCs/>
              </w:rPr>
              <w:t>INTERKULTURELLES VERSTEHEN UND HANDELN</w:t>
            </w:r>
          </w:p>
          <w:p w:rsidR="005B198C" w:rsidRPr="003E4F80" w:rsidRDefault="005B198C" w:rsidP="00244E37">
            <w:pPr>
              <w:pStyle w:val="einzug-1"/>
              <w:spacing w:before="120" w:after="120"/>
            </w:pPr>
            <w:r w:rsidRPr="003E4F80">
              <w:t>Sie können</w:t>
            </w:r>
          </w:p>
          <w:p w:rsidR="005B198C" w:rsidRPr="003E4F80" w:rsidRDefault="005B198C" w:rsidP="00244E37">
            <w:pPr>
              <w:pStyle w:val="einzug-1"/>
              <w:numPr>
                <w:ilvl w:val="0"/>
                <w:numId w:val="18"/>
              </w:numPr>
              <w:tabs>
                <w:tab w:val="clear" w:pos="720"/>
                <w:tab w:val="num" w:pos="482"/>
              </w:tabs>
              <w:spacing w:before="120"/>
              <w:ind w:left="482" w:hanging="284"/>
            </w:pPr>
            <w:r w:rsidRPr="003E4F80">
              <w:t xml:space="preserve">in formellen wie informellen interkulturellen Begegnungssituationen – ggf. auch mit </w:t>
            </w:r>
            <w:proofErr w:type="spellStart"/>
            <w:r w:rsidRPr="003E4F80">
              <w:rPr>
                <w:i/>
                <w:iCs/>
              </w:rPr>
              <w:t>lingua</w:t>
            </w:r>
            <w:proofErr w:type="spellEnd"/>
            <w:r w:rsidRPr="003E4F80">
              <w:rPr>
                <w:i/>
                <w:iCs/>
              </w:rPr>
              <w:t xml:space="preserve"> </w:t>
            </w:r>
            <w:proofErr w:type="spellStart"/>
            <w:r w:rsidRPr="003E4F80">
              <w:rPr>
                <w:i/>
                <w:iCs/>
              </w:rPr>
              <w:t>franca</w:t>
            </w:r>
            <w:proofErr w:type="spellEnd"/>
            <w:r w:rsidRPr="003E4F80">
              <w:t xml:space="preserve">-Sprecherinnen und -Sprechern – kulturspezifische Konventionen sowie Besonderheiten sensibel beachten und angemessen und flexibel interagieren, </w:t>
            </w:r>
          </w:p>
          <w:p w:rsidR="005B198C" w:rsidRPr="003E4F80" w:rsidRDefault="005B198C" w:rsidP="00244E37">
            <w:pPr>
              <w:pStyle w:val="einzug-1"/>
              <w:numPr>
                <w:ilvl w:val="0"/>
                <w:numId w:val="18"/>
              </w:numPr>
              <w:tabs>
                <w:tab w:val="clear" w:pos="720"/>
                <w:tab w:val="num" w:pos="482"/>
              </w:tabs>
              <w:spacing w:before="120"/>
              <w:ind w:left="482" w:hanging="284"/>
            </w:pPr>
            <w:r w:rsidRPr="003E4F80">
              <w:t>mit englischsprachigen Kommunikationspartnern sensibel einen (ggf. auch kontroversen) interkulturellen Diskurs über Gemeinsamkeiten, Unterschiede und Hintergründe kulturell geprägter Haltungen sowie über Chancen und Herausforderungen kultureller Begegnung führen.</w:t>
            </w:r>
          </w:p>
        </w:tc>
      </w:tr>
      <w:tr w:rsidR="005B198C">
        <w:trPr>
          <w:trHeight w:val="255"/>
        </w:trPr>
        <w:tc>
          <w:tcPr>
            <w:tcW w:w="2250" w:type="dxa"/>
            <w:vMerge w:val="restart"/>
            <w:tcBorders>
              <w:left w:val="single" w:sz="8" w:space="0" w:color="000000"/>
              <w:bottom w:val="single" w:sz="4" w:space="0" w:color="000000"/>
            </w:tcBorders>
            <w:shd w:val="clear" w:color="auto" w:fill="C0C0C0"/>
          </w:tcPr>
          <w:p w:rsidR="005B198C" w:rsidRPr="00FE18E4" w:rsidRDefault="005B198C">
            <w:pPr>
              <w:snapToGrid w:val="0"/>
              <w:spacing w:before="120" w:after="120"/>
              <w:jc w:val="left"/>
              <w:rPr>
                <w:b/>
                <w:bCs/>
              </w:rPr>
            </w:pPr>
          </w:p>
        </w:tc>
        <w:tc>
          <w:tcPr>
            <w:tcW w:w="7067" w:type="dxa"/>
            <w:tcBorders>
              <w:top w:val="single" w:sz="4" w:space="0" w:color="000000"/>
              <w:left w:val="single" w:sz="8" w:space="0" w:color="000000"/>
              <w:bottom w:val="single" w:sz="4" w:space="0" w:color="000000"/>
              <w:right w:val="single" w:sz="8" w:space="0" w:color="000000"/>
            </w:tcBorders>
            <w:shd w:val="clear" w:color="auto" w:fill="BFBFBF"/>
          </w:tcPr>
          <w:p w:rsidR="005B198C" w:rsidRPr="003E4F80" w:rsidRDefault="005B198C" w:rsidP="00B25EA9">
            <w:pPr>
              <w:pStyle w:val="einzug-1"/>
              <w:tabs>
                <w:tab w:val="clear" w:pos="284"/>
              </w:tabs>
              <w:suppressAutoHyphens w:val="0"/>
              <w:spacing w:before="120" w:after="120" w:line="240" w:lineRule="auto"/>
              <w:ind w:left="357"/>
              <w:rPr>
                <w:b/>
                <w:bCs/>
              </w:rPr>
            </w:pPr>
            <w:r w:rsidRPr="003E4F80">
              <w:rPr>
                <w:b/>
                <w:bCs/>
              </w:rPr>
              <w:t>Weitere Schwerpunktkompetenz</w:t>
            </w:r>
          </w:p>
        </w:tc>
      </w:tr>
      <w:tr w:rsidR="005B198C">
        <w:trPr>
          <w:trHeight w:val="255"/>
        </w:trPr>
        <w:tc>
          <w:tcPr>
            <w:tcW w:w="2250" w:type="dxa"/>
            <w:vMerge/>
            <w:tcBorders>
              <w:left w:val="single" w:sz="8" w:space="0" w:color="000000"/>
              <w:bottom w:val="single" w:sz="4" w:space="0" w:color="000000"/>
            </w:tcBorders>
            <w:shd w:val="clear" w:color="auto" w:fill="C0C0C0"/>
          </w:tcPr>
          <w:p w:rsidR="005B198C" w:rsidRDefault="005B198C">
            <w:pPr>
              <w:snapToGrid w:val="0"/>
              <w:spacing w:before="120" w:after="120"/>
              <w:jc w:val="left"/>
              <w:rPr>
                <w:b/>
                <w:bCs/>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FFFFFF"/>
          </w:tcPr>
          <w:p w:rsidR="005B198C" w:rsidRPr="003E4F80" w:rsidRDefault="005B198C" w:rsidP="00F64A0C">
            <w:pPr>
              <w:pStyle w:val="einzug-1"/>
              <w:spacing w:before="120"/>
            </w:pPr>
            <w:r w:rsidRPr="003E4F80">
              <w:rPr>
                <w:b/>
                <w:bCs/>
              </w:rPr>
              <w:t xml:space="preserve">SPRACHLERNKOMPETENZ </w:t>
            </w:r>
          </w:p>
          <w:p w:rsidR="005B198C" w:rsidRPr="003E4F80" w:rsidRDefault="005B198C" w:rsidP="00F64A0C">
            <w:pPr>
              <w:pStyle w:val="einzug-1"/>
              <w:spacing w:before="120"/>
            </w:pPr>
            <w:r w:rsidRPr="003E4F80">
              <w:rPr>
                <w:b/>
                <w:bCs/>
              </w:rPr>
              <w:t xml:space="preserve">Die Schülerinnen und Schüler können auf der Grundlage ihres bisher erreichten Mehrsprachigkeitsprofils ihre sprachlichen Kompetenzen selbstständig und reflektiert </w:t>
            </w:r>
            <w:r w:rsidRPr="003E4F80">
              <w:rPr>
                <w:b/>
                <w:bCs/>
              </w:rPr>
              <w:lastRenderedPageBreak/>
              <w:t xml:space="preserve">erweitern. Dabei nutzen sie ein breites Repertoire an Strategien und Techniken des selbstständigen und kooperativen Sprachenlernens. </w:t>
            </w:r>
          </w:p>
          <w:p w:rsidR="005B198C" w:rsidRPr="003E4F80" w:rsidRDefault="005B198C" w:rsidP="00A20DAF">
            <w:pPr>
              <w:pStyle w:val="einzug-1"/>
              <w:spacing w:before="120"/>
            </w:pPr>
            <w:r w:rsidRPr="003E4F80">
              <w:t>Sie können</w:t>
            </w:r>
            <w:r w:rsidRPr="003E4F80">
              <w:rPr>
                <w:b/>
                <w:bCs/>
              </w:rPr>
              <w:t xml:space="preserve"> </w:t>
            </w:r>
          </w:p>
          <w:p w:rsidR="005B198C" w:rsidRPr="003E4F80" w:rsidRDefault="005B198C" w:rsidP="00F64A0C">
            <w:pPr>
              <w:pStyle w:val="einzug-1"/>
              <w:numPr>
                <w:ilvl w:val="0"/>
                <w:numId w:val="18"/>
              </w:numPr>
              <w:tabs>
                <w:tab w:val="clear" w:pos="720"/>
                <w:tab w:val="num" w:pos="482"/>
              </w:tabs>
              <w:spacing w:before="120"/>
              <w:ind w:left="482" w:hanging="283"/>
            </w:pPr>
            <w:r w:rsidRPr="003E4F80">
              <w:t>ihren Lernprozess selbstständig beobachten und planen und den Grad ihrer eigenen Sprachbeherrschung weitgehend treffend einschätzen, dokumentieren und bewerten,</w:t>
            </w:r>
          </w:p>
          <w:p w:rsidR="005B198C" w:rsidRPr="003E4F80" w:rsidRDefault="005B198C" w:rsidP="00A20DAF">
            <w:pPr>
              <w:pStyle w:val="einzug-1"/>
              <w:numPr>
                <w:ilvl w:val="0"/>
                <w:numId w:val="18"/>
              </w:numPr>
              <w:tabs>
                <w:tab w:val="clear" w:pos="720"/>
                <w:tab w:val="num" w:pos="482"/>
              </w:tabs>
              <w:spacing w:before="120"/>
              <w:ind w:left="482" w:hanging="283"/>
            </w:pPr>
            <w:r w:rsidRPr="003E4F80">
              <w:t>die Bearbeitung komplexer Aufgaben und längerfristiger Arbeitsvorhaben selbstständig auch unter Nutzung kooperativer Arbeitsformen des Sprachenlernens planen, effizient durchführen und für dabei auftretende Schwierigkeiten flexibel und ergebnisorientiert Lösungen entwickeln,</w:t>
            </w:r>
          </w:p>
          <w:p w:rsidR="005B198C" w:rsidRPr="003E4F80" w:rsidRDefault="005B198C" w:rsidP="00A20DAF">
            <w:pPr>
              <w:pStyle w:val="einzug-1"/>
              <w:numPr>
                <w:ilvl w:val="0"/>
                <w:numId w:val="18"/>
              </w:numPr>
              <w:tabs>
                <w:tab w:val="clear" w:pos="720"/>
                <w:tab w:val="num" w:pos="482"/>
              </w:tabs>
              <w:spacing w:before="120"/>
              <w:ind w:left="482" w:hanging="283"/>
            </w:pPr>
            <w:r w:rsidRPr="003E4F80">
              <w:t xml:space="preserve">fachliche Kenntnisse und Methoden auch im Rahmen fachübergreifender Frage- und Aufgabenstellungen nutzen. </w:t>
            </w:r>
          </w:p>
        </w:tc>
      </w:tr>
      <w:tr w:rsidR="005B198C">
        <w:trPr>
          <w:trHeight w:val="255"/>
        </w:trPr>
        <w:tc>
          <w:tcPr>
            <w:tcW w:w="2250" w:type="dxa"/>
            <w:tcBorders>
              <w:top w:val="single" w:sz="4" w:space="0" w:color="000000"/>
              <w:left w:val="single" w:sz="8" w:space="0" w:color="000000"/>
              <w:bottom w:val="single" w:sz="4" w:space="0" w:color="000000"/>
            </w:tcBorders>
            <w:shd w:val="clear" w:color="auto" w:fill="C0C0C0"/>
          </w:tcPr>
          <w:p w:rsidR="005B198C" w:rsidRDefault="005B198C">
            <w:pPr>
              <w:spacing w:before="120" w:after="120"/>
              <w:jc w:val="left"/>
            </w:pPr>
            <w:proofErr w:type="spellStart"/>
            <w:r w:rsidRPr="00A20DAF">
              <w:rPr>
                <w:b/>
                <w:bCs/>
              </w:rPr>
              <w:lastRenderedPageBreak/>
              <w:t>GeR</w:t>
            </w:r>
            <w:proofErr w:type="spellEnd"/>
            <w:r w:rsidRPr="00A20DAF">
              <w:rPr>
                <w:b/>
                <w:bCs/>
              </w:rPr>
              <w:t>:</w:t>
            </w:r>
          </w:p>
        </w:tc>
        <w:tc>
          <w:tcPr>
            <w:tcW w:w="7067" w:type="dxa"/>
            <w:tcBorders>
              <w:top w:val="single" w:sz="4" w:space="0" w:color="000000"/>
              <w:left w:val="single" w:sz="8" w:space="0" w:color="000000"/>
              <w:bottom w:val="single" w:sz="4" w:space="0" w:color="000000"/>
              <w:right w:val="single" w:sz="8" w:space="0" w:color="000000"/>
            </w:tcBorders>
          </w:tcPr>
          <w:p w:rsidR="005B198C" w:rsidRPr="00A20DAF" w:rsidRDefault="005B198C" w:rsidP="00002565">
            <w:pPr>
              <w:spacing w:before="120" w:after="120"/>
              <w:jc w:val="left"/>
            </w:pPr>
            <w:r w:rsidRPr="00A20DAF">
              <w:t>B</w:t>
            </w:r>
            <w:r>
              <w:t>2</w:t>
            </w:r>
          </w:p>
        </w:tc>
      </w:tr>
      <w:tr w:rsidR="005B198C">
        <w:trPr>
          <w:trHeight w:val="255"/>
        </w:trPr>
        <w:tc>
          <w:tcPr>
            <w:tcW w:w="2250" w:type="dxa"/>
            <w:tcBorders>
              <w:top w:val="single" w:sz="4" w:space="0" w:color="000000"/>
              <w:left w:val="single" w:sz="8" w:space="0" w:color="000000"/>
              <w:bottom w:val="single" w:sz="4" w:space="0" w:color="000000"/>
            </w:tcBorders>
            <w:shd w:val="clear" w:color="auto" w:fill="C0C0C0"/>
          </w:tcPr>
          <w:p w:rsidR="005B198C" w:rsidRDefault="005B198C">
            <w:pPr>
              <w:spacing w:before="120" w:after="120"/>
              <w:jc w:val="left"/>
            </w:pPr>
            <w:r w:rsidRPr="00A20DAF">
              <w:rPr>
                <w:b/>
                <w:bCs/>
              </w:rPr>
              <w:t>Bearbeitungszeit:</w:t>
            </w:r>
          </w:p>
        </w:tc>
        <w:tc>
          <w:tcPr>
            <w:tcW w:w="7067" w:type="dxa"/>
            <w:tcBorders>
              <w:top w:val="single" w:sz="4" w:space="0" w:color="000000"/>
              <w:left w:val="single" w:sz="8" w:space="0" w:color="000000"/>
              <w:bottom w:val="single" w:sz="4" w:space="0" w:color="000000"/>
              <w:right w:val="single" w:sz="8" w:space="0" w:color="000000"/>
            </w:tcBorders>
          </w:tcPr>
          <w:p w:rsidR="005B198C" w:rsidRPr="00D31E15" w:rsidRDefault="005B198C" w:rsidP="00A20DAF">
            <w:pPr>
              <w:spacing w:before="120" w:after="120"/>
              <w:jc w:val="left"/>
            </w:pPr>
            <w:r w:rsidRPr="00D31E15">
              <w:t>ca. 6 Unterrichtsstunden (à 45 Min.)</w:t>
            </w:r>
          </w:p>
        </w:tc>
      </w:tr>
      <w:tr w:rsidR="005B198C" w:rsidRPr="00BE3C99">
        <w:trPr>
          <w:trHeight w:val="255"/>
        </w:trPr>
        <w:tc>
          <w:tcPr>
            <w:tcW w:w="2250" w:type="dxa"/>
            <w:tcBorders>
              <w:top w:val="single" w:sz="4" w:space="0" w:color="000000"/>
              <w:left w:val="single" w:sz="8" w:space="0" w:color="000000"/>
              <w:bottom w:val="single" w:sz="4" w:space="0" w:color="000000"/>
            </w:tcBorders>
            <w:shd w:val="clear" w:color="auto" w:fill="C0C0C0"/>
          </w:tcPr>
          <w:p w:rsidR="005B198C" w:rsidRDefault="005B198C">
            <w:pPr>
              <w:spacing w:before="120" w:after="120"/>
              <w:jc w:val="left"/>
            </w:pPr>
            <w:r>
              <w:rPr>
                <w:b/>
                <w:bCs/>
              </w:rPr>
              <w:t>Materialien / Quellen:</w:t>
            </w:r>
          </w:p>
        </w:tc>
        <w:tc>
          <w:tcPr>
            <w:tcW w:w="7067" w:type="dxa"/>
            <w:tcBorders>
              <w:top w:val="single" w:sz="4" w:space="0" w:color="000000"/>
              <w:left w:val="single" w:sz="8" w:space="0" w:color="000000"/>
              <w:bottom w:val="single" w:sz="4" w:space="0" w:color="000000"/>
              <w:right w:val="single" w:sz="8" w:space="0" w:color="000000"/>
            </w:tcBorders>
          </w:tcPr>
          <w:p w:rsidR="005B198C" w:rsidRPr="009674D8" w:rsidRDefault="005B198C" w:rsidP="00A20DAF">
            <w:pPr>
              <w:numPr>
                <w:ilvl w:val="0"/>
                <w:numId w:val="1"/>
              </w:numPr>
              <w:spacing w:before="120" w:after="120"/>
              <w:jc w:val="left"/>
            </w:pPr>
            <w:r>
              <w:rPr>
                <w:u w:val="single"/>
              </w:rPr>
              <w:t xml:space="preserve">deutschsprachiger </w:t>
            </w:r>
            <w:r w:rsidRPr="00BE3C99">
              <w:rPr>
                <w:u w:val="single"/>
              </w:rPr>
              <w:t>Ausgangstext</w:t>
            </w:r>
            <w:r>
              <w:rPr>
                <w:u w:val="single"/>
              </w:rPr>
              <w:t xml:space="preserve"> 1</w:t>
            </w:r>
            <w:r w:rsidRPr="00BE3C99">
              <w:rPr>
                <w:u w:val="single"/>
              </w:rPr>
              <w:t>:</w:t>
            </w:r>
            <w:r>
              <w:t xml:space="preserve"> </w:t>
            </w:r>
            <w:r w:rsidRPr="00A20DAF">
              <w:t xml:space="preserve">„Afrikas giftigste Müllhalde“ </w:t>
            </w:r>
            <w:r w:rsidRPr="00A20DAF">
              <w:rPr>
                <w:i/>
                <w:iCs/>
              </w:rPr>
              <w:t>http://www.3sat.de/page/?source=/scobel/160141/index.html</w:t>
            </w:r>
            <w:r>
              <w:t xml:space="preserve"> (letzter Aufruf: 16.05.2015)</w:t>
            </w:r>
          </w:p>
          <w:p w:rsidR="005B198C" w:rsidRPr="009674D8" w:rsidRDefault="005B198C" w:rsidP="00A20DAF">
            <w:pPr>
              <w:numPr>
                <w:ilvl w:val="0"/>
                <w:numId w:val="1"/>
              </w:numPr>
              <w:spacing w:before="120" w:after="120"/>
              <w:jc w:val="left"/>
            </w:pPr>
            <w:r>
              <w:rPr>
                <w:u w:val="single"/>
              </w:rPr>
              <w:t xml:space="preserve">deutschsprachiger </w:t>
            </w:r>
            <w:r w:rsidRPr="00BE3C99">
              <w:rPr>
                <w:u w:val="single"/>
              </w:rPr>
              <w:t>Ausgangstext</w:t>
            </w:r>
            <w:r>
              <w:rPr>
                <w:u w:val="single"/>
              </w:rPr>
              <w:t xml:space="preserve"> 2</w:t>
            </w:r>
            <w:r w:rsidRPr="00BE3C99">
              <w:rPr>
                <w:u w:val="single"/>
              </w:rPr>
              <w:t>:</w:t>
            </w:r>
            <w:r>
              <w:t xml:space="preserve"> </w:t>
            </w:r>
            <w:r w:rsidRPr="00A20DAF">
              <w:t>„Ein Volk voll Hoffnung“</w:t>
            </w:r>
            <w:r>
              <w:br/>
            </w:r>
            <w:r w:rsidRPr="00A20DAF">
              <w:rPr>
                <w:i/>
                <w:iCs/>
              </w:rPr>
              <w:t>http://www.arbeit-wirtschaft.at/servlet/ContentServer?pagename=X03/Page/Index&amp;n=X03_1.a_2008_03.a&amp;cid=1206108335092</w:t>
            </w:r>
            <w:r w:rsidRPr="00A20DAF">
              <w:t xml:space="preserve"> </w:t>
            </w:r>
            <w:r>
              <w:t>(letzter Aufruf: 16.05.2015)</w:t>
            </w:r>
          </w:p>
          <w:p w:rsidR="005B198C" w:rsidRPr="00BE3C99" w:rsidRDefault="005B198C" w:rsidP="006C6839">
            <w:pPr>
              <w:numPr>
                <w:ilvl w:val="0"/>
                <w:numId w:val="1"/>
              </w:numPr>
              <w:spacing w:before="120" w:after="120"/>
              <w:jc w:val="left"/>
            </w:pPr>
            <w:r w:rsidRPr="006C6839">
              <w:t>ggf. weitere online verfügbare Spiegeltexte</w:t>
            </w:r>
          </w:p>
        </w:tc>
      </w:tr>
      <w:tr w:rsidR="005B198C">
        <w:trPr>
          <w:trHeight w:val="255"/>
        </w:trPr>
        <w:tc>
          <w:tcPr>
            <w:tcW w:w="2250" w:type="dxa"/>
            <w:tcBorders>
              <w:top w:val="single" w:sz="4" w:space="0" w:color="000000"/>
              <w:left w:val="single" w:sz="8" w:space="0" w:color="000000"/>
              <w:bottom w:val="single" w:sz="8" w:space="0" w:color="000000"/>
            </w:tcBorders>
            <w:shd w:val="clear" w:color="auto" w:fill="C0C0C0"/>
          </w:tcPr>
          <w:p w:rsidR="005B198C" w:rsidRDefault="005B198C">
            <w:pPr>
              <w:spacing w:before="120" w:after="120"/>
              <w:jc w:val="left"/>
            </w:pPr>
            <w:r>
              <w:rPr>
                <w:b/>
                <w:bCs/>
              </w:rPr>
              <w:t>Benötigte Materialien:</w:t>
            </w:r>
          </w:p>
        </w:tc>
        <w:tc>
          <w:tcPr>
            <w:tcW w:w="7067" w:type="dxa"/>
            <w:tcBorders>
              <w:top w:val="single" w:sz="4" w:space="0" w:color="000000"/>
              <w:left w:val="single" w:sz="8" w:space="0" w:color="000000"/>
              <w:bottom w:val="single" w:sz="8" w:space="0" w:color="000000"/>
              <w:right w:val="single" w:sz="8" w:space="0" w:color="000000"/>
            </w:tcBorders>
          </w:tcPr>
          <w:p w:rsidR="005B198C" w:rsidRPr="00E52DBA" w:rsidRDefault="005B198C" w:rsidP="00E52DBA">
            <w:pPr>
              <w:numPr>
                <w:ilvl w:val="0"/>
                <w:numId w:val="1"/>
              </w:numPr>
              <w:spacing w:before="120" w:after="120"/>
              <w:jc w:val="left"/>
              <w:rPr>
                <w:lang w:val="fr-FR"/>
              </w:rPr>
            </w:pPr>
            <w:r w:rsidRPr="00E52DBA">
              <w:t xml:space="preserve">Arbeitsblätter </w:t>
            </w:r>
            <w:r>
              <w:t xml:space="preserve">(Worksheets) </w:t>
            </w:r>
            <w:r w:rsidRPr="00E52DBA">
              <w:t>zur Lernaufgabe</w:t>
            </w:r>
          </w:p>
          <w:p w:rsidR="005B198C" w:rsidRPr="00E52DBA" w:rsidRDefault="005B198C" w:rsidP="00E52DBA">
            <w:pPr>
              <w:numPr>
                <w:ilvl w:val="0"/>
                <w:numId w:val="1"/>
              </w:numPr>
              <w:spacing w:before="120" w:after="120"/>
              <w:jc w:val="left"/>
              <w:rPr>
                <w:lang w:val="fr-FR"/>
              </w:rPr>
            </w:pPr>
            <w:r>
              <w:t xml:space="preserve">ein- und </w:t>
            </w:r>
            <w:r w:rsidRPr="00A26FB4">
              <w:t>zweisprachiges Wörterbuch</w:t>
            </w:r>
            <w:r w:rsidRPr="00E52DBA">
              <w:rPr>
                <w:lang w:val="fr-FR"/>
              </w:rPr>
              <w:t xml:space="preserve"> (</w:t>
            </w:r>
            <w:r>
              <w:rPr>
                <w:lang w:val="fr-FR"/>
              </w:rPr>
              <w:t xml:space="preserve">E-E ; </w:t>
            </w:r>
            <w:r w:rsidRPr="00E52DBA">
              <w:rPr>
                <w:lang w:val="fr-FR"/>
              </w:rPr>
              <w:t>D-E, E-D)</w:t>
            </w:r>
          </w:p>
        </w:tc>
      </w:tr>
    </w:tbl>
    <w:p w:rsidR="005B198C" w:rsidRDefault="005B198C">
      <w:pPr>
        <w:jc w:val="left"/>
      </w:pPr>
    </w:p>
    <w:p w:rsidR="005B198C" w:rsidRDefault="005B198C">
      <w:pPr>
        <w:pageBreakBefore/>
      </w:pPr>
      <w:r>
        <w:rPr>
          <w:b/>
          <w:bCs/>
        </w:rPr>
        <w:lastRenderedPageBreak/>
        <w:t>Hinweise zur Lernaufgabe</w:t>
      </w:r>
    </w:p>
    <w:p w:rsidR="005B198C" w:rsidRDefault="005B198C"/>
    <w:tbl>
      <w:tblPr>
        <w:tblW w:w="0" w:type="auto"/>
        <w:tblInd w:w="-106" w:type="dxa"/>
        <w:tblLayout w:type="fixed"/>
        <w:tblLook w:val="0000" w:firstRow="0" w:lastRow="0" w:firstColumn="0" w:lastColumn="0" w:noHBand="0" w:noVBand="0"/>
      </w:tblPr>
      <w:tblGrid>
        <w:gridCol w:w="2217"/>
        <w:gridCol w:w="7070"/>
      </w:tblGrid>
      <w:tr w:rsidR="005B198C">
        <w:trPr>
          <w:trHeight w:val="5628"/>
        </w:trPr>
        <w:tc>
          <w:tcPr>
            <w:tcW w:w="2217" w:type="dxa"/>
            <w:vMerge w:val="restart"/>
            <w:shd w:val="clear" w:color="auto" w:fill="C0C0C0"/>
          </w:tcPr>
          <w:p w:rsidR="005B198C" w:rsidRDefault="005B198C">
            <w:pPr>
              <w:rPr>
                <w:b/>
                <w:bCs/>
              </w:rPr>
            </w:pPr>
            <w:r>
              <w:rPr>
                <w:b/>
                <w:bCs/>
              </w:rPr>
              <w:t>Thema</w:t>
            </w: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r>
              <w:rPr>
                <w:b/>
                <w:bCs/>
              </w:rPr>
              <w:t>Voraussetzungen</w:t>
            </w: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002565" w:rsidRDefault="00002565">
            <w:pPr>
              <w:rPr>
                <w:b/>
                <w:bCs/>
              </w:rPr>
            </w:pPr>
          </w:p>
          <w:p w:rsidR="00002565" w:rsidRDefault="00002565">
            <w:pPr>
              <w:rPr>
                <w:b/>
                <w:bCs/>
              </w:rPr>
            </w:pPr>
          </w:p>
          <w:p w:rsidR="005B198C" w:rsidRDefault="005B198C">
            <w:pPr>
              <w:rPr>
                <w:b/>
                <w:bCs/>
              </w:rPr>
            </w:pPr>
            <w:r>
              <w:rPr>
                <w:b/>
                <w:bCs/>
              </w:rPr>
              <w:t>Fachdidaktische Hinweise</w:t>
            </w: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b/>
                <w:bCs/>
              </w:rPr>
            </w:pPr>
          </w:p>
          <w:p w:rsidR="005B198C" w:rsidRDefault="005B198C">
            <w:pPr>
              <w:rPr>
                <w:i/>
                <w:iCs/>
              </w:rPr>
            </w:pPr>
          </w:p>
        </w:tc>
        <w:tc>
          <w:tcPr>
            <w:tcW w:w="7070" w:type="dxa"/>
          </w:tcPr>
          <w:p w:rsidR="005B198C" w:rsidRDefault="005B198C" w:rsidP="00164CEC">
            <w:r>
              <w:lastRenderedPageBreak/>
              <w:t xml:space="preserve">Das Thema </w:t>
            </w:r>
            <w:r w:rsidRPr="00A26FB4">
              <w:t>‚</w:t>
            </w:r>
            <w:proofErr w:type="spellStart"/>
            <w:r>
              <w:t>Globalisation</w:t>
            </w:r>
            <w:proofErr w:type="spellEnd"/>
            <w:r>
              <w:t xml:space="preserve"> </w:t>
            </w:r>
            <w:proofErr w:type="spellStart"/>
            <w:r>
              <w:t>coming</w:t>
            </w:r>
            <w:proofErr w:type="spellEnd"/>
            <w:r>
              <w:t xml:space="preserve"> </w:t>
            </w:r>
            <w:proofErr w:type="spellStart"/>
            <w:r>
              <w:t>to</w:t>
            </w:r>
            <w:proofErr w:type="spellEnd"/>
            <w:r>
              <w:t xml:space="preserve"> Ghana</w:t>
            </w:r>
            <w:r w:rsidRPr="00A26FB4">
              <w:t>‘</w:t>
            </w:r>
            <w:r>
              <w:t xml:space="preserve"> intendiert eine handlungsorientierte Umsetzung des im KLP für die Q2.1-2 vorgesehenen Themenfelds ‚Chancen und Risiken der Globalisierung (sowie des ergänzenden Themenfelds ‚Fortschritt und Ethik in der modernen Gesellschaft‘). Die Schülerinnen und Schüler erweitern dabei einerseits ihre Kompetenz, in formellen zweisprachigen Situationen schriftlich sprachmittelnd zu agieren (Deutsch-Englisch), andererseits vertiefen sie zugleich ihre Schreibkompetenz (adressatenorientierte Erstellung informationsvermittelnder schriftlicher Emails). Im Rahmen dieser </w:t>
            </w:r>
            <w:r w:rsidRPr="00164CEC">
              <w:rPr>
                <w:i/>
                <w:iCs/>
              </w:rPr>
              <w:t>Lern</w:t>
            </w:r>
            <w:r>
              <w:t xml:space="preserve">aufgabe erwerben und reflektieren die Schülerinnen und Schüler relevante Strategien der schriftlichen Sprachmittlung Deutsch-Englisch (u.a. </w:t>
            </w:r>
            <w:r w:rsidRPr="008158AF">
              <w:rPr>
                <w:i/>
                <w:iCs/>
              </w:rPr>
              <w:t xml:space="preserve">Reporting </w:t>
            </w:r>
            <w:proofErr w:type="spellStart"/>
            <w:r w:rsidRPr="008158AF">
              <w:rPr>
                <w:i/>
                <w:iCs/>
              </w:rPr>
              <w:t>objectively</w:t>
            </w:r>
            <w:proofErr w:type="spellEnd"/>
            <w:r>
              <w:t xml:space="preserve">, </w:t>
            </w:r>
            <w:proofErr w:type="spellStart"/>
            <w:r w:rsidRPr="008158AF">
              <w:rPr>
                <w:i/>
                <w:iCs/>
              </w:rPr>
              <w:t>Communicating</w:t>
            </w:r>
            <w:proofErr w:type="spellEnd"/>
            <w:r w:rsidRPr="008158AF">
              <w:rPr>
                <w:i/>
                <w:iCs/>
              </w:rPr>
              <w:t xml:space="preserve"> </w:t>
            </w:r>
            <w:proofErr w:type="spellStart"/>
            <w:r w:rsidRPr="008158AF">
              <w:rPr>
                <w:i/>
                <w:iCs/>
              </w:rPr>
              <w:t>respectfully</w:t>
            </w:r>
            <w:proofErr w:type="spellEnd"/>
            <w:r w:rsidRPr="008158AF">
              <w:rPr>
                <w:i/>
                <w:iCs/>
              </w:rPr>
              <w:t xml:space="preserve"> </w:t>
            </w:r>
            <w:proofErr w:type="spellStart"/>
            <w:r w:rsidRPr="008158AF">
              <w:rPr>
                <w:i/>
                <w:iCs/>
              </w:rPr>
              <w:t>across</w:t>
            </w:r>
            <w:proofErr w:type="spellEnd"/>
            <w:r w:rsidRPr="008158AF">
              <w:rPr>
                <w:i/>
                <w:iCs/>
              </w:rPr>
              <w:t xml:space="preserve"> </w:t>
            </w:r>
            <w:proofErr w:type="spellStart"/>
            <w:r w:rsidRPr="008158AF">
              <w:rPr>
                <w:i/>
                <w:iCs/>
              </w:rPr>
              <w:t>cultures</w:t>
            </w:r>
            <w:proofErr w:type="spellEnd"/>
            <w:r>
              <w:t xml:space="preserve">) und erweitern bzw. festigen damit ihre Sprachlernkompetenz im Sinne einer fortgeschrittenen </w:t>
            </w:r>
            <w:proofErr w:type="spellStart"/>
            <w:r>
              <w:t>Lernerautonomie</w:t>
            </w:r>
            <w:proofErr w:type="spellEnd"/>
            <w:r>
              <w:t xml:space="preserve">. </w:t>
            </w:r>
          </w:p>
          <w:p w:rsidR="005B198C" w:rsidRDefault="005B198C" w:rsidP="00F31F7A">
            <w:pPr>
              <w:rPr>
                <w:i/>
                <w:iCs/>
              </w:rPr>
            </w:pPr>
            <w:r>
              <w:t>Das Thema vertieft die Bearbeitung des Themas Globalisierung innerhalb des Unterrichtsvorhabens Q2.1-2 ‚</w:t>
            </w:r>
            <w:r w:rsidRPr="001A61F0">
              <w:t xml:space="preserve">Making </w:t>
            </w:r>
            <w:proofErr w:type="spellStart"/>
            <w:r>
              <w:t>the</w:t>
            </w:r>
            <w:proofErr w:type="spellEnd"/>
            <w:r>
              <w:t xml:space="preserve"> global </w:t>
            </w:r>
            <w:proofErr w:type="spellStart"/>
            <w:r>
              <w:t>village</w:t>
            </w:r>
            <w:proofErr w:type="spellEnd"/>
            <w:r>
              <w:t xml:space="preserve"> </w:t>
            </w:r>
            <w:proofErr w:type="spellStart"/>
            <w:r>
              <w:t>work</w:t>
            </w:r>
            <w:proofErr w:type="spellEnd"/>
            <w:r>
              <w:t xml:space="preserve">: </w:t>
            </w:r>
            <w:proofErr w:type="spellStart"/>
            <w:r>
              <w:t>ways</w:t>
            </w:r>
            <w:proofErr w:type="spellEnd"/>
            <w:r>
              <w:t xml:space="preserve"> </w:t>
            </w:r>
            <w:proofErr w:type="spellStart"/>
            <w:r>
              <w:t>tro</w:t>
            </w:r>
            <w:proofErr w:type="spellEnd"/>
            <w:r>
              <w:t xml:space="preserve"> a </w:t>
            </w:r>
            <w:proofErr w:type="spellStart"/>
            <w:r>
              <w:t>more</w:t>
            </w:r>
            <w:proofErr w:type="spellEnd"/>
            <w:r>
              <w:t xml:space="preserve"> </w:t>
            </w:r>
            <w:proofErr w:type="spellStart"/>
            <w:r>
              <w:t>sustainable</w:t>
            </w:r>
            <w:proofErr w:type="spellEnd"/>
            <w:r>
              <w:t xml:space="preserve"> </w:t>
            </w:r>
            <w:proofErr w:type="spellStart"/>
            <w:r>
              <w:t>world</w:t>
            </w:r>
            <w:proofErr w:type="spellEnd"/>
            <w:r>
              <w:t>‘ um einen handlungsorientierten Zugang interkulturellen Austauschs mit Schülerinnen und Schülern der Partnerschule in Ghana. Die Lernaufgabe leistet damit einen wichtigen Beitrag im Rahmen der angestrebten Persönlichkeitsbildung und Erziehung zur gesellschaftlichen Teilhabe. Das Unter</w:t>
            </w:r>
            <w:r w:rsidRPr="00002565">
              <w:t>ric</w:t>
            </w:r>
            <w:r>
              <w:t>htsvorhaben insgesamt sowie die Lernaufgabe heben die in EF2-1 behandelten Fragen zur Thematik ‚</w:t>
            </w:r>
            <w:proofErr w:type="spellStart"/>
            <w:r>
              <w:t>Getting</w:t>
            </w:r>
            <w:proofErr w:type="spellEnd"/>
            <w:r>
              <w:t xml:space="preserve"> </w:t>
            </w:r>
            <w:proofErr w:type="spellStart"/>
            <w:r>
              <w:t>involved</w:t>
            </w:r>
            <w:proofErr w:type="spellEnd"/>
            <w:r>
              <w:t xml:space="preserve">: </w:t>
            </w:r>
            <w:proofErr w:type="spellStart"/>
            <w:r>
              <w:t>locally</w:t>
            </w:r>
            <w:proofErr w:type="spellEnd"/>
            <w:r>
              <w:t xml:space="preserve"> </w:t>
            </w:r>
            <w:proofErr w:type="spellStart"/>
            <w:r>
              <w:t>and</w:t>
            </w:r>
            <w:proofErr w:type="spellEnd"/>
            <w:r>
              <w:t xml:space="preserve"> </w:t>
            </w:r>
            <w:proofErr w:type="spellStart"/>
            <w:r>
              <w:t>globally</w:t>
            </w:r>
            <w:proofErr w:type="spellEnd"/>
            <w:r>
              <w:t>‘ auf ein höheres Niveau.</w:t>
            </w:r>
          </w:p>
        </w:tc>
      </w:tr>
      <w:tr w:rsidR="005B198C">
        <w:trPr>
          <w:trHeight w:val="3396"/>
        </w:trPr>
        <w:tc>
          <w:tcPr>
            <w:tcW w:w="2217" w:type="dxa"/>
            <w:vMerge/>
            <w:shd w:val="clear" w:color="auto" w:fill="C0C0C0"/>
          </w:tcPr>
          <w:p w:rsidR="005B198C" w:rsidRDefault="005B198C">
            <w:pPr>
              <w:rPr>
                <w:b/>
                <w:bCs/>
              </w:rPr>
            </w:pPr>
          </w:p>
        </w:tc>
        <w:tc>
          <w:tcPr>
            <w:tcW w:w="7070" w:type="dxa"/>
          </w:tcPr>
          <w:p w:rsidR="005B198C" w:rsidRDefault="005B198C" w:rsidP="00AA66DE">
            <w:pPr>
              <w:rPr>
                <w:i/>
                <w:iCs/>
              </w:rPr>
            </w:pPr>
          </w:p>
          <w:p w:rsidR="00002565" w:rsidRDefault="00002565" w:rsidP="00AA66DE"/>
          <w:p w:rsidR="005B198C" w:rsidRDefault="005B198C" w:rsidP="00AA66DE">
            <w:r w:rsidRPr="0033465E">
              <w:t>Die Lernaufgab</w:t>
            </w:r>
            <w:r>
              <w:t xml:space="preserve">e setzt den weitgehenden Erwerb relevanter Kompetenzen im Bereich der schriftlichen Sprachmittlung Deutsch-Englisch in EF und Q1 voraus. Es bietet dabei differenzierend einzusetzende Worksheets und Arbeitsaufträge, die zur Wiederholung und Festigung bereits erworbener Kompetenzen genutzt werden können. Vorausgesetzt wird für die Bereiche Schreiben, Sprachmittlung und Verfügen über sprachliche Mittel das Sprachniveau B2. Auch der selbstständige Umgangs mit einem ein- und zweisprachigen Wörterbuch sind Voraussetzung für eine erfolgreiche </w:t>
            </w:r>
            <w:r w:rsidR="00002565">
              <w:t>Bewältigung</w:t>
            </w:r>
            <w:r>
              <w:t xml:space="preserve"> der Lernaufgabe. Das Erstellen thematischer Wort-/Ausdruckssammlungen sollte den Schülerinnen und Schülern bereits vertraut sein.</w:t>
            </w:r>
          </w:p>
          <w:p w:rsidR="005B198C" w:rsidRPr="005C2591" w:rsidRDefault="005B198C" w:rsidP="00F31F7A">
            <w:r>
              <w:t>In arbeitsorganisatorischer Hinsicht wird vorausgesetzt, dass die Schülerinnen und Schüler über vertiefte Kompetenzen zu Organisationsformen des selbstgesteuerten kooperativen Arbeitens und Sprachenlernens (Partnerarbeit, Ergebnis</w:t>
            </w:r>
            <w:r w:rsidR="00002565">
              <w:t>-</w:t>
            </w:r>
            <w:r>
              <w:t xml:space="preserve">präsentationen) sowie zu Formen des evaluativen Reflektierens ihrer Vorgehensweise sowie ihrer Arbeitsergebnisse verfügen. </w:t>
            </w:r>
          </w:p>
        </w:tc>
      </w:tr>
      <w:tr w:rsidR="005B198C">
        <w:trPr>
          <w:trHeight w:val="3648"/>
        </w:trPr>
        <w:tc>
          <w:tcPr>
            <w:tcW w:w="2217" w:type="dxa"/>
            <w:vMerge/>
            <w:shd w:val="clear" w:color="auto" w:fill="C0C0C0"/>
          </w:tcPr>
          <w:p w:rsidR="005B198C" w:rsidRDefault="005B198C">
            <w:pPr>
              <w:rPr>
                <w:b/>
                <w:bCs/>
              </w:rPr>
            </w:pPr>
          </w:p>
        </w:tc>
        <w:tc>
          <w:tcPr>
            <w:tcW w:w="7070" w:type="dxa"/>
          </w:tcPr>
          <w:p w:rsidR="00002565" w:rsidRDefault="00002565" w:rsidP="00AA66DE"/>
          <w:p w:rsidR="00002565" w:rsidRDefault="00002565" w:rsidP="00AA66DE"/>
          <w:p w:rsidR="005B198C" w:rsidRPr="00D249DE" w:rsidRDefault="005B198C" w:rsidP="00AA66DE">
            <w:r>
              <w:t xml:space="preserve">Die Lernaufgabe ist als </w:t>
            </w:r>
            <w:proofErr w:type="spellStart"/>
            <w:r w:rsidRPr="00785A33">
              <w:rPr>
                <w:i/>
                <w:iCs/>
              </w:rPr>
              <w:t>task</w:t>
            </w:r>
            <w:proofErr w:type="spellEnd"/>
            <w:r>
              <w:t xml:space="preserve"> (bzw. zwei aufeinander folgende und bezogene </w:t>
            </w:r>
            <w:proofErr w:type="spellStart"/>
            <w:r w:rsidRPr="00D249DE">
              <w:rPr>
                <w:i/>
                <w:iCs/>
              </w:rPr>
              <w:t>tasks</w:t>
            </w:r>
            <w:proofErr w:type="spellEnd"/>
            <w:r>
              <w:t xml:space="preserve">) angelegt, bei deren Bearbeitung die Schülerinnen und Schüler gezielten sprachlichen und methodisch-strategischen </w:t>
            </w:r>
            <w:proofErr w:type="spellStart"/>
            <w:r w:rsidRPr="00AE25AA">
              <w:rPr>
                <w:i/>
                <w:iCs/>
              </w:rPr>
              <w:t>support</w:t>
            </w:r>
            <w:proofErr w:type="spellEnd"/>
            <w:r>
              <w:t xml:space="preserve"> erhalten. Eine (an der fiktiven Schule reale) Kommunikationssituation, die die schriftliche Sprachmittlungskompetenz vom Deutschen ins Englische fordert, stellt das Ziel des Handelns über die </w:t>
            </w:r>
            <w:r w:rsidRPr="00D249DE">
              <w:t xml:space="preserve">Unterrichtsstunden hinweg von vorneherein in den Vordergrund: </w:t>
            </w:r>
            <w:r>
              <w:t xml:space="preserve">die </w:t>
            </w:r>
            <w:r w:rsidRPr="00D249DE">
              <w:t xml:space="preserve">Übermittlung relevanter Informationen aus vorgegebenen </w:t>
            </w:r>
            <w:r>
              <w:t>Artikeln</w:t>
            </w:r>
            <w:r w:rsidRPr="00D249DE">
              <w:t xml:space="preserve"> über </w:t>
            </w:r>
            <w:r>
              <w:t>die Situation in Ghana (Müllhalde für Elektroschrott aus Europa und allgemein vor dem Hintergrund der Globalisierung)</w:t>
            </w:r>
            <w:r w:rsidRPr="00D249DE">
              <w:t xml:space="preserve">, </w:t>
            </w:r>
            <w:r>
              <w:t>in Form einer</w:t>
            </w:r>
            <w:r w:rsidRPr="00D249DE">
              <w:t xml:space="preserve"> Email an eine</w:t>
            </w:r>
            <w:r>
              <w:t>/</w:t>
            </w:r>
            <w:r w:rsidRPr="00D249DE">
              <w:t xml:space="preserve">n </w:t>
            </w:r>
            <w:r>
              <w:t>Schüler/in der ghanaischen Partnerschule in Accra, um diese/n um eine Stellungnahme zu den Inhalten zu bitten</w:t>
            </w:r>
            <w:r w:rsidRPr="00D249DE">
              <w:t xml:space="preserve">. </w:t>
            </w:r>
          </w:p>
          <w:p w:rsidR="005B198C" w:rsidRDefault="005B198C" w:rsidP="00214761">
            <w:r w:rsidRPr="00D860A6">
              <w:t xml:space="preserve">Darauf ausgerichtet werden die Anforderungen der </w:t>
            </w:r>
            <w:proofErr w:type="spellStart"/>
            <w:r w:rsidRPr="00D860A6">
              <w:rPr>
                <w:i/>
                <w:iCs/>
              </w:rPr>
              <w:t>task</w:t>
            </w:r>
            <w:proofErr w:type="spellEnd"/>
            <w:r>
              <w:t xml:space="preserve"> zur schriftlichen Sprachmittlung Deutsch-Englisch besprochen (Worksheet 1: oben). Die Erstellung und Nutzung der nunmehr vollständigen Übersicht zu relevanten Strategien schriftlicher Sprachmittlung (Worksheet 1) dient als Grundlage für die Schulung der im Fokus der Kompetenzentwicklung stehenden Strategien (vgl. Worksheets 2, 3, 4a-c:</w:t>
            </w:r>
            <w:r w:rsidRPr="001A61F0">
              <w:rPr>
                <w:i/>
                <w:iCs/>
              </w:rPr>
              <w:t xml:space="preserve"> </w:t>
            </w:r>
            <w:proofErr w:type="spellStart"/>
            <w:r w:rsidRPr="001A61F0">
              <w:rPr>
                <w:i/>
                <w:iCs/>
              </w:rPr>
              <w:t>summarizing</w:t>
            </w:r>
            <w:proofErr w:type="spellEnd"/>
            <w:r>
              <w:t xml:space="preserve">, </w:t>
            </w:r>
            <w:proofErr w:type="spellStart"/>
            <w:r w:rsidRPr="001A61F0">
              <w:rPr>
                <w:i/>
                <w:iCs/>
              </w:rPr>
              <w:t>paraphrasing</w:t>
            </w:r>
            <w:proofErr w:type="spellEnd"/>
            <w:r>
              <w:t>). Das systematische strategisch vorbereitete Vorgehen am ersten Beispieltext (</w:t>
            </w:r>
            <w:proofErr w:type="spellStart"/>
            <w:r w:rsidRPr="00D249DE">
              <w:rPr>
                <w:i/>
                <w:iCs/>
              </w:rPr>
              <w:t>task</w:t>
            </w:r>
            <w:proofErr w:type="spellEnd"/>
            <w:r w:rsidRPr="00D249DE">
              <w:rPr>
                <w:i/>
                <w:iCs/>
              </w:rPr>
              <w:t xml:space="preserve"> </w:t>
            </w:r>
            <w:r>
              <w:rPr>
                <w:i/>
                <w:iCs/>
              </w:rPr>
              <w:t xml:space="preserve">1 </w:t>
            </w:r>
            <w:r w:rsidRPr="00D249DE">
              <w:t>– Worksheets 4a-c)</w:t>
            </w:r>
            <w:r>
              <w:t xml:space="preserve"> und die gemeinsame Auswertung (Worksheet 6) sollen den Schülerinnen und Schülern Sicherheit in der Anwendung der relevanten Strategien geben; die sich anschließende eigenständige Anwendung in Kleingruppen (</w:t>
            </w:r>
            <w:proofErr w:type="spellStart"/>
            <w:r w:rsidRPr="000F3E3A">
              <w:rPr>
                <w:i/>
                <w:iCs/>
              </w:rPr>
              <w:t>task</w:t>
            </w:r>
            <w:proofErr w:type="spellEnd"/>
            <w:r w:rsidRPr="000F3E3A">
              <w:rPr>
                <w:i/>
                <w:iCs/>
              </w:rPr>
              <w:t xml:space="preserve"> </w:t>
            </w:r>
            <w:r>
              <w:rPr>
                <w:i/>
                <w:iCs/>
              </w:rPr>
              <w:t>2</w:t>
            </w:r>
            <w:r>
              <w:t xml:space="preserve"> – Worksheets 5a-b) dient dem selbstständigen Training und der abschließenden individuellen Selbstevaluation (Worksheets 6 und 7). </w:t>
            </w:r>
          </w:p>
          <w:p w:rsidR="005B198C" w:rsidRPr="00214761" w:rsidRDefault="005B198C" w:rsidP="00214761"/>
        </w:tc>
      </w:tr>
      <w:tr w:rsidR="005B198C">
        <w:trPr>
          <w:trHeight w:val="255"/>
        </w:trPr>
        <w:tc>
          <w:tcPr>
            <w:tcW w:w="2217" w:type="dxa"/>
            <w:shd w:val="clear" w:color="auto" w:fill="C0C0C0"/>
          </w:tcPr>
          <w:p w:rsidR="005B198C" w:rsidRDefault="005B198C">
            <w:r>
              <w:rPr>
                <w:b/>
                <w:bCs/>
              </w:rPr>
              <w:lastRenderedPageBreak/>
              <w:t xml:space="preserve">Alternative </w:t>
            </w:r>
          </w:p>
        </w:tc>
        <w:tc>
          <w:tcPr>
            <w:tcW w:w="7070" w:type="dxa"/>
          </w:tcPr>
          <w:p w:rsidR="00002565" w:rsidRDefault="00002565" w:rsidP="00EF24B6"/>
          <w:p w:rsidR="005B198C" w:rsidRDefault="005B198C" w:rsidP="00EF24B6">
            <w:bookmarkStart w:id="4" w:name="_GoBack"/>
            <w:bookmarkEnd w:id="4"/>
            <w:r>
              <w:t xml:space="preserve">Möglichkeiten der individuellen Differenzierung bestehen zum einen in dem Maß, in </w:t>
            </w:r>
            <w:r w:rsidRPr="0080546A">
              <w:t xml:space="preserve">dem </w:t>
            </w:r>
            <w:r>
              <w:t xml:space="preserve">die Schülerinnen und Schüler die </w:t>
            </w:r>
            <w:r w:rsidRPr="0080546A">
              <w:t xml:space="preserve">Strategien </w:t>
            </w:r>
            <w:r>
              <w:t xml:space="preserve">selbstständig </w:t>
            </w:r>
            <w:r w:rsidRPr="0080546A">
              <w:t xml:space="preserve">zum Einsatz </w:t>
            </w:r>
            <w:r>
              <w:t>bring</w:t>
            </w:r>
            <w:r w:rsidRPr="0080546A">
              <w:t>en</w:t>
            </w:r>
            <w:r>
              <w:t>, und in der Nutzung des vorbereitenden</w:t>
            </w:r>
            <w:r w:rsidRPr="0080546A">
              <w:t xml:space="preserve"> Übungsmaterial</w:t>
            </w:r>
            <w:r>
              <w:t>s</w:t>
            </w:r>
            <w:r w:rsidRPr="0080546A">
              <w:t xml:space="preserve"> zu relevanten Strategien (Worksheets 2 und 3) im Vorfeld der eigentlichen Aufgabe</w:t>
            </w:r>
            <w:r>
              <w:t xml:space="preserve">. </w:t>
            </w:r>
            <w:r w:rsidRPr="0080546A">
              <w:t xml:space="preserve">Der Gebrauch (oder Nicht-Gebrauch) eines </w:t>
            </w:r>
            <w:r>
              <w:t xml:space="preserve">ein- und </w:t>
            </w:r>
            <w:r w:rsidRPr="0080546A">
              <w:t>zweisprachigen Wörterbuchs bietet eine weitere Möglichkeit sinnvoller individueller Differenzierung (Forderung der Schülerinnen und Schüler mit höherer Kompetenz im Bereich Ver</w:t>
            </w:r>
            <w:r>
              <w:t>fügen über sprachliche Mittel, Verm</w:t>
            </w:r>
            <w:r w:rsidRPr="0080546A">
              <w:t>eidung der Überforderung schwächerer Schülerinnen und Schüler). Schließlich kann die Anwendungsphase in Dreier- bzw. Partnergru</w:t>
            </w:r>
            <w:r>
              <w:t xml:space="preserve">ppen oder – bei höher ausgeprägter Kompetenz – in Einzelarbeit (mit anschließender </w:t>
            </w:r>
            <w:proofErr w:type="spellStart"/>
            <w:r w:rsidRPr="00214761">
              <w:rPr>
                <w:i/>
                <w:iCs/>
              </w:rPr>
              <w:t>peer</w:t>
            </w:r>
            <w:proofErr w:type="spellEnd"/>
            <w:r w:rsidRPr="00214761">
              <w:rPr>
                <w:i/>
                <w:iCs/>
              </w:rPr>
              <w:t xml:space="preserve"> </w:t>
            </w:r>
            <w:proofErr w:type="spellStart"/>
            <w:r w:rsidRPr="00214761">
              <w:rPr>
                <w:i/>
                <w:iCs/>
              </w:rPr>
              <w:t>correction</w:t>
            </w:r>
            <w:proofErr w:type="spellEnd"/>
            <w:r>
              <w:t>) durchgeführt werden.</w:t>
            </w:r>
          </w:p>
        </w:tc>
      </w:tr>
    </w:tbl>
    <w:p w:rsidR="005B198C" w:rsidRDefault="005B198C"/>
    <w:p w:rsidR="005B198C" w:rsidRPr="009C4EE6" w:rsidRDefault="005B198C">
      <w:pPr>
        <w:suppressAutoHyphens w:val="0"/>
        <w:jc w:val="left"/>
        <w:rPr>
          <w:b/>
          <w:bCs/>
        </w:rPr>
      </w:pPr>
      <w:r w:rsidRPr="009C4EE6">
        <w:rPr>
          <w:b/>
          <w:bCs/>
        </w:rPr>
        <w:br w:type="page"/>
      </w:r>
    </w:p>
    <w:p w:rsidR="005B198C" w:rsidRPr="005C2591" w:rsidRDefault="005B198C" w:rsidP="00200569">
      <w:pPr>
        <w:jc w:val="left"/>
        <w:rPr>
          <w:b/>
          <w:bCs/>
        </w:rPr>
      </w:pPr>
      <w:r w:rsidRPr="00AA5F17">
        <w:rPr>
          <w:b/>
          <w:bCs/>
        </w:rPr>
        <w:t xml:space="preserve">Übersicht über die </w:t>
      </w:r>
      <w:r w:rsidRPr="00200569">
        <w:rPr>
          <w:b/>
          <w:bCs/>
        </w:rPr>
        <w:t>Lernaufgabe</w:t>
      </w:r>
      <w:r>
        <w:rPr>
          <w:b/>
          <w:bCs/>
        </w:rPr>
        <w:t xml:space="preserve"> </w:t>
      </w:r>
      <w:r w:rsidRPr="00200569">
        <w:rPr>
          <w:b/>
          <w:bCs/>
        </w:rPr>
        <w:t xml:space="preserve">‚Making </w:t>
      </w:r>
      <w:proofErr w:type="spellStart"/>
      <w:r>
        <w:rPr>
          <w:b/>
          <w:bCs/>
        </w:rPr>
        <w:t>the</w:t>
      </w:r>
      <w:proofErr w:type="spellEnd"/>
      <w:r>
        <w:rPr>
          <w:b/>
          <w:bCs/>
        </w:rPr>
        <w:t xml:space="preserve"> global </w:t>
      </w:r>
      <w:proofErr w:type="spellStart"/>
      <w:r>
        <w:rPr>
          <w:b/>
          <w:bCs/>
        </w:rPr>
        <w:t>village</w:t>
      </w:r>
      <w:proofErr w:type="spellEnd"/>
      <w:r>
        <w:rPr>
          <w:b/>
          <w:bCs/>
        </w:rPr>
        <w:t xml:space="preserve"> </w:t>
      </w:r>
      <w:proofErr w:type="spellStart"/>
      <w:r>
        <w:rPr>
          <w:b/>
          <w:bCs/>
        </w:rPr>
        <w:t>work</w:t>
      </w:r>
      <w:proofErr w:type="spellEnd"/>
      <w:r>
        <w:rPr>
          <w:b/>
          <w:bCs/>
        </w:rPr>
        <w:t xml:space="preserve">: </w:t>
      </w:r>
      <w:proofErr w:type="spellStart"/>
      <w:r>
        <w:rPr>
          <w:b/>
          <w:bCs/>
        </w:rPr>
        <w:t>Globalisation</w:t>
      </w:r>
      <w:proofErr w:type="spellEnd"/>
      <w:r>
        <w:rPr>
          <w:b/>
          <w:bCs/>
        </w:rPr>
        <w:t xml:space="preserve"> </w:t>
      </w:r>
      <w:proofErr w:type="spellStart"/>
      <w:r>
        <w:rPr>
          <w:b/>
          <w:bCs/>
        </w:rPr>
        <w:t>coming</w:t>
      </w:r>
      <w:proofErr w:type="spellEnd"/>
      <w:r>
        <w:rPr>
          <w:b/>
          <w:bCs/>
        </w:rPr>
        <w:t xml:space="preserve"> </w:t>
      </w:r>
      <w:proofErr w:type="spellStart"/>
      <w:r>
        <w:rPr>
          <w:b/>
          <w:bCs/>
        </w:rPr>
        <w:t>to</w:t>
      </w:r>
      <w:proofErr w:type="spellEnd"/>
      <w:r>
        <w:rPr>
          <w:b/>
          <w:bCs/>
        </w:rPr>
        <w:t xml:space="preserve"> Ghana – </w:t>
      </w:r>
      <w:proofErr w:type="spellStart"/>
      <w:r>
        <w:rPr>
          <w:b/>
          <w:bCs/>
        </w:rPr>
        <w:t>written</w:t>
      </w:r>
      <w:proofErr w:type="spellEnd"/>
      <w:r>
        <w:rPr>
          <w:b/>
          <w:bCs/>
        </w:rPr>
        <w:t xml:space="preserve"> </w:t>
      </w:r>
      <w:proofErr w:type="spellStart"/>
      <w:r>
        <w:rPr>
          <w:b/>
          <w:bCs/>
        </w:rPr>
        <w:t>mediation</w:t>
      </w:r>
      <w:proofErr w:type="spellEnd"/>
      <w:r>
        <w:rPr>
          <w:b/>
          <w:bCs/>
        </w:rPr>
        <w:t xml:space="preserve"> (German-English)‘</w:t>
      </w:r>
      <w:r w:rsidRPr="00200569">
        <w:rPr>
          <w:b/>
          <w:bCs/>
        </w:rPr>
        <w:t>:</w:t>
      </w:r>
    </w:p>
    <w:p w:rsidR="005B198C" w:rsidRDefault="005B198C"/>
    <w:p w:rsidR="005B198C" w:rsidRDefault="000B1747">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 o:spid="_x0000_i1025" type="#_x0000_t75" style="width:454.8pt;height:591.6pt;visibility:visible">
            <v:imagedata r:id="rId7" o:title="" croptop="-5313f" cropbottom="-5358f" cropright="-2733f"/>
            <o:lock v:ext="edit" aspectratio="f"/>
          </v:shape>
        </w:pict>
      </w:r>
    </w:p>
    <w:sectPr w:rsidR="005B198C" w:rsidSect="003D6E0E">
      <w:footerReference w:type="default" r:id="rId8"/>
      <w:pgSz w:w="11906" w:h="16838"/>
      <w:pgMar w:top="1417" w:right="1417" w:bottom="1134" w:left="1417" w:header="720" w:footer="720" w:gutter="0"/>
      <w:cols w:space="720"/>
      <w:rtlGutter/>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62" w:rsidRDefault="00D01E62" w:rsidP="007A5600">
      <w:r>
        <w:separator/>
      </w:r>
    </w:p>
  </w:endnote>
  <w:endnote w:type="continuationSeparator" w:id="0">
    <w:p w:rsidR="00D01E62" w:rsidRDefault="00D01E62" w:rsidP="007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8C" w:rsidRDefault="00D01E62">
    <w:pPr>
      <w:pStyle w:val="Fuzeile"/>
      <w:jc w:val="center"/>
    </w:pPr>
    <w:r>
      <w:fldChar w:fldCharType="begin"/>
    </w:r>
    <w:r>
      <w:instrText xml:space="preserve"> PAGE   \* MERGEFORMAT </w:instrText>
    </w:r>
    <w:r>
      <w:fldChar w:fldCharType="separate"/>
    </w:r>
    <w:r w:rsidR="00002565">
      <w:rPr>
        <w:noProof/>
      </w:rPr>
      <w:t>7</w:t>
    </w:r>
    <w:r>
      <w:rPr>
        <w:noProof/>
      </w:rPr>
      <w:fldChar w:fldCharType="end"/>
    </w:r>
  </w:p>
  <w:p w:rsidR="005B198C" w:rsidRDefault="005B19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62" w:rsidRDefault="00D01E62" w:rsidP="007A5600">
      <w:r>
        <w:separator/>
      </w:r>
    </w:p>
  </w:footnote>
  <w:footnote w:type="continuationSeparator" w:id="0">
    <w:p w:rsidR="00D01E62" w:rsidRDefault="00D01E62" w:rsidP="007A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437"/>
        </w:tabs>
        <w:ind w:left="437" w:hanging="363"/>
      </w:pPr>
      <w:rPr>
        <w:rFonts w:ascii="Symbol" w:hAnsi="Symbol" w:cs="Symbol"/>
        <w:color w:val="auto"/>
      </w:rPr>
    </w:lvl>
    <w:lvl w:ilvl="1">
      <w:start w:val="1"/>
      <w:numFmt w:val="bullet"/>
      <w:lvlText w:val=""/>
      <w:lvlJc w:val="left"/>
      <w:pPr>
        <w:tabs>
          <w:tab w:val="num" w:pos="1437"/>
        </w:tabs>
        <w:ind w:left="1437" w:hanging="357"/>
      </w:pPr>
      <w:rPr>
        <w:rFonts w:ascii="Symbol" w:hAnsi="Symbol" w:cs="Symbol"/>
        <w:color w:val="auto"/>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4032443"/>
    <w:multiLevelType w:val="multilevel"/>
    <w:tmpl w:val="99F4A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3903C1D"/>
    <w:multiLevelType w:val="hybridMultilevel"/>
    <w:tmpl w:val="951A6A60"/>
    <w:lvl w:ilvl="0" w:tplc="8C0297CA">
      <w:start w:val="1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1B582AF3"/>
    <w:multiLevelType w:val="singleLevel"/>
    <w:tmpl w:val="2ADA3E38"/>
    <w:lvl w:ilvl="0">
      <w:start w:val="1"/>
      <w:numFmt w:val="bullet"/>
      <w:lvlText w:val=""/>
      <w:lvlJc w:val="left"/>
      <w:pPr>
        <w:tabs>
          <w:tab w:val="num" w:pos="360"/>
        </w:tabs>
        <w:ind w:left="284" w:hanging="284"/>
      </w:pPr>
      <w:rPr>
        <w:rFonts w:ascii="Symbol" w:hAnsi="Symbol" w:cs="Symbol" w:hint="default"/>
        <w:sz w:val="24"/>
        <w:szCs w:val="24"/>
      </w:rPr>
    </w:lvl>
  </w:abstractNum>
  <w:abstractNum w:abstractNumId="13">
    <w:nsid w:val="1FA711AB"/>
    <w:multiLevelType w:val="multilevel"/>
    <w:tmpl w:val="1D7EB2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E177621"/>
    <w:multiLevelType w:val="multilevel"/>
    <w:tmpl w:val="39B2CD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E81B5D"/>
    <w:multiLevelType w:val="multilevel"/>
    <w:tmpl w:val="D4E4B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024199D"/>
    <w:multiLevelType w:val="hybridMultilevel"/>
    <w:tmpl w:val="90A80AB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4107AA2"/>
    <w:multiLevelType w:val="hybridMultilevel"/>
    <w:tmpl w:val="ECCE3C42"/>
    <w:lvl w:ilvl="0" w:tplc="8C0297CA">
      <w:start w:val="1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43AF5C9E"/>
    <w:multiLevelType w:val="multilevel"/>
    <w:tmpl w:val="CE2629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BB81A9A"/>
    <w:multiLevelType w:val="multilevel"/>
    <w:tmpl w:val="94002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C1F5430"/>
    <w:multiLevelType w:val="hybridMultilevel"/>
    <w:tmpl w:val="EBD8643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5E1E766E"/>
    <w:multiLevelType w:val="multilevel"/>
    <w:tmpl w:val="5EE029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E8A718A"/>
    <w:multiLevelType w:val="multilevel"/>
    <w:tmpl w:val="35AEA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F7E05B8"/>
    <w:multiLevelType w:val="hybridMultilevel"/>
    <w:tmpl w:val="10AAA6A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791B491B"/>
    <w:multiLevelType w:val="hybridMultilevel"/>
    <w:tmpl w:val="4A389E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cs="Wingdings" w:hint="default"/>
      </w:rPr>
    </w:lvl>
    <w:lvl w:ilvl="3" w:tplc="04070001">
      <w:start w:val="1"/>
      <w:numFmt w:val="bullet"/>
      <w:lvlText w:val=""/>
      <w:lvlJc w:val="left"/>
      <w:pPr>
        <w:tabs>
          <w:tab w:val="num" w:pos="1953"/>
        </w:tabs>
        <w:ind w:left="1953" w:hanging="360"/>
      </w:pPr>
      <w:rPr>
        <w:rFonts w:ascii="Symbol" w:hAnsi="Symbol" w:cs="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cs="Wingdings" w:hint="default"/>
      </w:rPr>
    </w:lvl>
    <w:lvl w:ilvl="6" w:tplc="04070001">
      <w:start w:val="1"/>
      <w:numFmt w:val="bullet"/>
      <w:lvlText w:val=""/>
      <w:lvlJc w:val="left"/>
      <w:pPr>
        <w:tabs>
          <w:tab w:val="num" w:pos="4113"/>
        </w:tabs>
        <w:ind w:left="4113" w:hanging="360"/>
      </w:pPr>
      <w:rPr>
        <w:rFonts w:ascii="Symbol" w:hAnsi="Symbol" w:cs="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cs="Wingdings" w:hint="default"/>
      </w:rPr>
    </w:lvl>
  </w:abstractNum>
  <w:abstractNum w:abstractNumId="25">
    <w:nsid w:val="7E4D2DFA"/>
    <w:multiLevelType w:val="multilevel"/>
    <w:tmpl w:val="246C98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F7B67B2"/>
    <w:multiLevelType w:val="multilevel"/>
    <w:tmpl w:val="AA900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F901030"/>
    <w:multiLevelType w:val="multilevel"/>
    <w:tmpl w:val="658C1E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4"/>
  </w:num>
  <w:num w:numId="13">
    <w:abstractNumId w:val="11"/>
  </w:num>
  <w:num w:numId="14">
    <w:abstractNumId w:val="17"/>
  </w:num>
  <w:num w:numId="15">
    <w:abstractNumId w:val="16"/>
  </w:num>
  <w:num w:numId="16">
    <w:abstractNumId w:val="23"/>
  </w:num>
  <w:num w:numId="17">
    <w:abstractNumId w:val="20"/>
  </w:num>
  <w:num w:numId="18">
    <w:abstractNumId w:val="18"/>
  </w:num>
  <w:num w:numId="19">
    <w:abstractNumId w:val="14"/>
  </w:num>
  <w:num w:numId="20">
    <w:abstractNumId w:val="26"/>
  </w:num>
  <w:num w:numId="21">
    <w:abstractNumId w:val="22"/>
  </w:num>
  <w:num w:numId="22">
    <w:abstractNumId w:val="19"/>
  </w:num>
  <w:num w:numId="23">
    <w:abstractNumId w:val="21"/>
  </w:num>
  <w:num w:numId="24">
    <w:abstractNumId w:val="10"/>
  </w:num>
  <w:num w:numId="25">
    <w:abstractNumId w:val="15"/>
  </w:num>
  <w:num w:numId="26">
    <w:abstractNumId w:val="2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629"/>
    <w:rsid w:val="00002565"/>
    <w:rsid w:val="000129DD"/>
    <w:rsid w:val="000272AE"/>
    <w:rsid w:val="0005484F"/>
    <w:rsid w:val="000777CF"/>
    <w:rsid w:val="000850A5"/>
    <w:rsid w:val="000B1747"/>
    <w:rsid w:val="000C5C3A"/>
    <w:rsid w:val="000D2F26"/>
    <w:rsid w:val="000D7D1A"/>
    <w:rsid w:val="000E2766"/>
    <w:rsid w:val="000F3E3A"/>
    <w:rsid w:val="00116BAD"/>
    <w:rsid w:val="001360BB"/>
    <w:rsid w:val="00164CEC"/>
    <w:rsid w:val="0018705A"/>
    <w:rsid w:val="00192600"/>
    <w:rsid w:val="00197704"/>
    <w:rsid w:val="001A61F0"/>
    <w:rsid w:val="001A70CB"/>
    <w:rsid w:val="001C5792"/>
    <w:rsid w:val="001D2A33"/>
    <w:rsid w:val="001E4306"/>
    <w:rsid w:val="001F1DAC"/>
    <w:rsid w:val="00200569"/>
    <w:rsid w:val="00214761"/>
    <w:rsid w:val="00227A57"/>
    <w:rsid w:val="0023774F"/>
    <w:rsid w:val="00244E37"/>
    <w:rsid w:val="0033465E"/>
    <w:rsid w:val="0033723A"/>
    <w:rsid w:val="003615B4"/>
    <w:rsid w:val="00392724"/>
    <w:rsid w:val="00396377"/>
    <w:rsid w:val="003A6E70"/>
    <w:rsid w:val="003B6A77"/>
    <w:rsid w:val="003D43B4"/>
    <w:rsid w:val="003D6E0E"/>
    <w:rsid w:val="003E289B"/>
    <w:rsid w:val="003E4F80"/>
    <w:rsid w:val="003E7564"/>
    <w:rsid w:val="0040361B"/>
    <w:rsid w:val="00410E4E"/>
    <w:rsid w:val="00411C4C"/>
    <w:rsid w:val="00420B30"/>
    <w:rsid w:val="00423979"/>
    <w:rsid w:val="0043564A"/>
    <w:rsid w:val="00447264"/>
    <w:rsid w:val="00455CFA"/>
    <w:rsid w:val="0047598B"/>
    <w:rsid w:val="00496CC7"/>
    <w:rsid w:val="004C3785"/>
    <w:rsid w:val="005078CC"/>
    <w:rsid w:val="005165A4"/>
    <w:rsid w:val="00523780"/>
    <w:rsid w:val="005244DE"/>
    <w:rsid w:val="005257D7"/>
    <w:rsid w:val="005301B9"/>
    <w:rsid w:val="00563EDD"/>
    <w:rsid w:val="005718B1"/>
    <w:rsid w:val="005A6C4F"/>
    <w:rsid w:val="005B198C"/>
    <w:rsid w:val="005C2591"/>
    <w:rsid w:val="005C4E9D"/>
    <w:rsid w:val="006030E9"/>
    <w:rsid w:val="0061169C"/>
    <w:rsid w:val="00617A2E"/>
    <w:rsid w:val="006316A3"/>
    <w:rsid w:val="00654FCC"/>
    <w:rsid w:val="006610F8"/>
    <w:rsid w:val="006751E4"/>
    <w:rsid w:val="00677720"/>
    <w:rsid w:val="00696BC3"/>
    <w:rsid w:val="006A6027"/>
    <w:rsid w:val="006B0B54"/>
    <w:rsid w:val="006B1F71"/>
    <w:rsid w:val="006C6839"/>
    <w:rsid w:val="006F3AFE"/>
    <w:rsid w:val="0070396F"/>
    <w:rsid w:val="00785A33"/>
    <w:rsid w:val="00795629"/>
    <w:rsid w:val="007A5600"/>
    <w:rsid w:val="0080546A"/>
    <w:rsid w:val="008158AF"/>
    <w:rsid w:val="00841534"/>
    <w:rsid w:val="00843918"/>
    <w:rsid w:val="008574C5"/>
    <w:rsid w:val="0086409F"/>
    <w:rsid w:val="00895D39"/>
    <w:rsid w:val="008C239E"/>
    <w:rsid w:val="008F412F"/>
    <w:rsid w:val="00903D0D"/>
    <w:rsid w:val="009132A6"/>
    <w:rsid w:val="00945E3A"/>
    <w:rsid w:val="00956546"/>
    <w:rsid w:val="009572FF"/>
    <w:rsid w:val="009674D8"/>
    <w:rsid w:val="0099475D"/>
    <w:rsid w:val="00995BF6"/>
    <w:rsid w:val="009B1A91"/>
    <w:rsid w:val="009C4EE6"/>
    <w:rsid w:val="009E6620"/>
    <w:rsid w:val="009E702F"/>
    <w:rsid w:val="00A17F6C"/>
    <w:rsid w:val="00A20DAF"/>
    <w:rsid w:val="00A26FB4"/>
    <w:rsid w:val="00A32F9C"/>
    <w:rsid w:val="00A420D8"/>
    <w:rsid w:val="00AA5F17"/>
    <w:rsid w:val="00AA66DE"/>
    <w:rsid w:val="00AB3413"/>
    <w:rsid w:val="00AB60F0"/>
    <w:rsid w:val="00AE25AA"/>
    <w:rsid w:val="00B07C5A"/>
    <w:rsid w:val="00B120B6"/>
    <w:rsid w:val="00B20111"/>
    <w:rsid w:val="00B22F23"/>
    <w:rsid w:val="00B25EA9"/>
    <w:rsid w:val="00B35C78"/>
    <w:rsid w:val="00B60284"/>
    <w:rsid w:val="00BB12D8"/>
    <w:rsid w:val="00BB7A76"/>
    <w:rsid w:val="00BE3C99"/>
    <w:rsid w:val="00C004CC"/>
    <w:rsid w:val="00C01147"/>
    <w:rsid w:val="00C27AD3"/>
    <w:rsid w:val="00C82AD3"/>
    <w:rsid w:val="00C83277"/>
    <w:rsid w:val="00C96C59"/>
    <w:rsid w:val="00CB3773"/>
    <w:rsid w:val="00CD32A1"/>
    <w:rsid w:val="00D01E62"/>
    <w:rsid w:val="00D249DE"/>
    <w:rsid w:val="00D31E15"/>
    <w:rsid w:val="00D334D4"/>
    <w:rsid w:val="00D45A7E"/>
    <w:rsid w:val="00D621B4"/>
    <w:rsid w:val="00D63C74"/>
    <w:rsid w:val="00D80371"/>
    <w:rsid w:val="00D860A6"/>
    <w:rsid w:val="00DC4E68"/>
    <w:rsid w:val="00DE53CC"/>
    <w:rsid w:val="00DF5DB5"/>
    <w:rsid w:val="00DF7E80"/>
    <w:rsid w:val="00E163AB"/>
    <w:rsid w:val="00E52DBA"/>
    <w:rsid w:val="00E53AF3"/>
    <w:rsid w:val="00E6313C"/>
    <w:rsid w:val="00E72D03"/>
    <w:rsid w:val="00E87FC5"/>
    <w:rsid w:val="00E92B01"/>
    <w:rsid w:val="00EB1A90"/>
    <w:rsid w:val="00EB2B1E"/>
    <w:rsid w:val="00EB404A"/>
    <w:rsid w:val="00EC5317"/>
    <w:rsid w:val="00EF24B6"/>
    <w:rsid w:val="00EF32E4"/>
    <w:rsid w:val="00EF4EB8"/>
    <w:rsid w:val="00F31F7A"/>
    <w:rsid w:val="00F64A0C"/>
    <w:rsid w:val="00FB15FC"/>
    <w:rsid w:val="00FB3A1E"/>
    <w:rsid w:val="00FE1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0E"/>
    <w:pPr>
      <w:suppressAutoHyphens/>
      <w:jc w:val="both"/>
    </w:pPr>
    <w:rPr>
      <w:rFonts w:ascii="Arial" w:hAnsi="Arial" w:cs="Arial"/>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uiPriority w:val="99"/>
    <w:rsid w:val="003D6E0E"/>
    <w:rPr>
      <w:rFonts w:ascii="Symbol" w:hAnsi="Symbol" w:cs="Symbol"/>
      <w:color w:val="auto"/>
    </w:rPr>
  </w:style>
  <w:style w:type="character" w:customStyle="1" w:styleId="WW8Num1z2">
    <w:name w:val="WW8Num1z2"/>
    <w:uiPriority w:val="99"/>
    <w:rsid w:val="003D6E0E"/>
    <w:rPr>
      <w:rFonts w:ascii="Wingdings" w:hAnsi="Wingdings" w:cs="Wingdings"/>
    </w:rPr>
  </w:style>
  <w:style w:type="character" w:customStyle="1" w:styleId="WW8Num1z3">
    <w:name w:val="WW8Num1z3"/>
    <w:uiPriority w:val="99"/>
    <w:rsid w:val="003D6E0E"/>
    <w:rPr>
      <w:rFonts w:ascii="Symbol" w:hAnsi="Symbol" w:cs="Symbol"/>
    </w:rPr>
  </w:style>
  <w:style w:type="character" w:customStyle="1" w:styleId="WW8Num1z4">
    <w:name w:val="WW8Num1z4"/>
    <w:uiPriority w:val="99"/>
    <w:rsid w:val="003D6E0E"/>
    <w:rPr>
      <w:rFonts w:ascii="Courier New" w:hAnsi="Courier New" w:cs="Courier New"/>
    </w:rPr>
  </w:style>
  <w:style w:type="character" w:customStyle="1" w:styleId="WW8Num2z0">
    <w:name w:val="WW8Num2z0"/>
    <w:uiPriority w:val="99"/>
    <w:rsid w:val="003D6E0E"/>
    <w:rPr>
      <w:rFonts w:ascii="Symbol" w:hAnsi="Symbol" w:cs="Symbol"/>
    </w:rPr>
  </w:style>
  <w:style w:type="character" w:customStyle="1" w:styleId="WW8Num2z1">
    <w:name w:val="WW8Num2z1"/>
    <w:uiPriority w:val="99"/>
    <w:rsid w:val="003D6E0E"/>
    <w:rPr>
      <w:rFonts w:ascii="Courier New" w:hAnsi="Courier New" w:cs="Courier New"/>
    </w:rPr>
  </w:style>
  <w:style w:type="character" w:customStyle="1" w:styleId="WW8Num2z2">
    <w:name w:val="WW8Num2z2"/>
    <w:uiPriority w:val="99"/>
    <w:rsid w:val="003D6E0E"/>
    <w:rPr>
      <w:rFonts w:ascii="Wingdings" w:hAnsi="Wingdings" w:cs="Wingdings"/>
    </w:rPr>
  </w:style>
  <w:style w:type="character" w:customStyle="1" w:styleId="WW8Num3z0">
    <w:name w:val="WW8Num3z0"/>
    <w:uiPriority w:val="99"/>
    <w:rsid w:val="003D6E0E"/>
    <w:rPr>
      <w:rFonts w:ascii="Symbol" w:hAnsi="Symbol" w:cs="Symbol"/>
    </w:rPr>
  </w:style>
  <w:style w:type="character" w:customStyle="1" w:styleId="WW8Num3z1">
    <w:name w:val="WW8Num3z1"/>
    <w:uiPriority w:val="99"/>
    <w:rsid w:val="003D6E0E"/>
    <w:rPr>
      <w:rFonts w:ascii="Courier New" w:hAnsi="Courier New" w:cs="Courier New"/>
    </w:rPr>
  </w:style>
  <w:style w:type="character" w:customStyle="1" w:styleId="WW8Num3z2">
    <w:name w:val="WW8Num3z2"/>
    <w:uiPriority w:val="99"/>
    <w:rsid w:val="003D6E0E"/>
    <w:rPr>
      <w:rFonts w:ascii="Wingdings" w:hAnsi="Wingdings" w:cs="Wingdings"/>
    </w:rPr>
  </w:style>
  <w:style w:type="character" w:customStyle="1" w:styleId="Absatz-Standardschriftart1">
    <w:name w:val="Absatz-Standardschriftart1"/>
    <w:uiPriority w:val="99"/>
    <w:rsid w:val="003D6E0E"/>
    <w:rPr>
      <w:rFonts w:cs="Times New Roman"/>
    </w:rPr>
  </w:style>
  <w:style w:type="character" w:customStyle="1" w:styleId="Funotenzeichen1">
    <w:name w:val="Fußnotenzeichen1"/>
    <w:uiPriority w:val="99"/>
    <w:rsid w:val="003D6E0E"/>
    <w:rPr>
      <w:rFonts w:cs="Times New Roman"/>
      <w:vertAlign w:val="superscript"/>
    </w:rPr>
  </w:style>
  <w:style w:type="character" w:customStyle="1" w:styleId="Kommentarzeichen1">
    <w:name w:val="Kommentarzeichen1"/>
    <w:uiPriority w:val="99"/>
    <w:rsid w:val="003D6E0E"/>
    <w:rPr>
      <w:rFonts w:cs="Times New Roman"/>
      <w:sz w:val="16"/>
      <w:szCs w:val="16"/>
    </w:rPr>
  </w:style>
  <w:style w:type="character" w:customStyle="1" w:styleId="ListLabel1">
    <w:name w:val="ListLabel 1"/>
    <w:uiPriority w:val="99"/>
    <w:rsid w:val="003D6E0E"/>
    <w:rPr>
      <w:rFonts w:eastAsia="Times New Roman" w:cs="Times New Roman"/>
    </w:rPr>
  </w:style>
  <w:style w:type="character" w:customStyle="1" w:styleId="ListLabel2">
    <w:name w:val="ListLabel 2"/>
    <w:uiPriority w:val="99"/>
    <w:rsid w:val="003D6E0E"/>
    <w:rPr>
      <w:rFonts w:cs="Times New Roman"/>
    </w:rPr>
  </w:style>
  <w:style w:type="character" w:customStyle="1" w:styleId="ListLabel3">
    <w:name w:val="ListLabel 3"/>
    <w:uiPriority w:val="99"/>
    <w:rsid w:val="003D6E0E"/>
    <w:rPr>
      <w:rFonts w:cs="Times New Roman"/>
    </w:rPr>
  </w:style>
  <w:style w:type="character" w:customStyle="1" w:styleId="ListLabel4">
    <w:name w:val="ListLabel 4"/>
    <w:uiPriority w:val="99"/>
    <w:rsid w:val="003D6E0E"/>
    <w:rPr>
      <w:rFonts w:cs="Times New Roman"/>
      <w:color w:val="auto"/>
    </w:rPr>
  </w:style>
  <w:style w:type="character" w:customStyle="1" w:styleId="Aufzhlungszeichen1">
    <w:name w:val="Aufzählungszeichen1"/>
    <w:uiPriority w:val="99"/>
    <w:rsid w:val="003D6E0E"/>
    <w:rPr>
      <w:rFonts w:ascii="OpenSymbol" w:eastAsia="Times New Roman" w:hAnsi="OpenSymbol" w:cs="OpenSymbol"/>
    </w:rPr>
  </w:style>
  <w:style w:type="paragraph" w:customStyle="1" w:styleId="berschrift">
    <w:name w:val="Überschrift"/>
    <w:basedOn w:val="Standard"/>
    <w:next w:val="Textkrper"/>
    <w:uiPriority w:val="99"/>
    <w:rsid w:val="003D6E0E"/>
    <w:pPr>
      <w:keepNext/>
      <w:spacing w:before="240" w:after="120"/>
    </w:pPr>
    <w:rPr>
      <w:rFonts w:eastAsia="Microsoft YaHei"/>
      <w:sz w:val="28"/>
      <w:szCs w:val="28"/>
    </w:rPr>
  </w:style>
  <w:style w:type="paragraph" w:styleId="Textkrper">
    <w:name w:val="Body Text"/>
    <w:basedOn w:val="Standard"/>
    <w:link w:val="TextkrperZchn"/>
    <w:uiPriority w:val="99"/>
    <w:rsid w:val="003D6E0E"/>
    <w:pPr>
      <w:spacing w:after="120"/>
    </w:pPr>
  </w:style>
  <w:style w:type="character" w:customStyle="1" w:styleId="TextkrperZchn">
    <w:name w:val="Textkörper Zchn"/>
    <w:link w:val="Textkrper"/>
    <w:uiPriority w:val="99"/>
    <w:semiHidden/>
    <w:rsid w:val="00A424E0"/>
    <w:rPr>
      <w:rFonts w:ascii="Arial" w:hAnsi="Arial" w:cs="Arial"/>
      <w:kern w:val="1"/>
      <w:sz w:val="24"/>
      <w:szCs w:val="24"/>
      <w:lang w:eastAsia="ar-SA"/>
    </w:rPr>
  </w:style>
  <w:style w:type="paragraph" w:styleId="Liste">
    <w:name w:val="List"/>
    <w:basedOn w:val="Textkrper"/>
    <w:uiPriority w:val="99"/>
    <w:rsid w:val="003D6E0E"/>
  </w:style>
  <w:style w:type="paragraph" w:customStyle="1" w:styleId="Beschriftung1">
    <w:name w:val="Beschriftung1"/>
    <w:basedOn w:val="Standard"/>
    <w:uiPriority w:val="99"/>
    <w:rsid w:val="003D6E0E"/>
    <w:pPr>
      <w:suppressLineNumbers/>
      <w:spacing w:before="120" w:after="120"/>
    </w:pPr>
    <w:rPr>
      <w:i/>
      <w:iCs/>
    </w:rPr>
  </w:style>
  <w:style w:type="paragraph" w:customStyle="1" w:styleId="Verzeichnis">
    <w:name w:val="Verzeichnis"/>
    <w:basedOn w:val="Standard"/>
    <w:uiPriority w:val="99"/>
    <w:rsid w:val="003D6E0E"/>
    <w:pPr>
      <w:suppressLineNumbers/>
    </w:pPr>
  </w:style>
  <w:style w:type="paragraph" w:customStyle="1" w:styleId="Funotentext1">
    <w:name w:val="Fußnotentext1"/>
    <w:basedOn w:val="Standard"/>
    <w:uiPriority w:val="99"/>
    <w:rsid w:val="003D6E0E"/>
    <w:rPr>
      <w:sz w:val="20"/>
      <w:szCs w:val="20"/>
    </w:rPr>
  </w:style>
  <w:style w:type="paragraph" w:customStyle="1" w:styleId="Sprechblasentext1">
    <w:name w:val="Sprechblasentext1"/>
    <w:basedOn w:val="Standard"/>
    <w:uiPriority w:val="99"/>
    <w:rsid w:val="003D6E0E"/>
    <w:rPr>
      <w:rFonts w:ascii="Tahoma" w:hAnsi="Tahoma" w:cs="Tahoma"/>
      <w:sz w:val="16"/>
      <w:szCs w:val="16"/>
    </w:rPr>
  </w:style>
  <w:style w:type="paragraph" w:customStyle="1" w:styleId="Kommentartext1">
    <w:name w:val="Kommentartext1"/>
    <w:basedOn w:val="Standard"/>
    <w:uiPriority w:val="99"/>
    <w:rsid w:val="003D6E0E"/>
    <w:rPr>
      <w:sz w:val="20"/>
      <w:szCs w:val="20"/>
    </w:rPr>
  </w:style>
  <w:style w:type="paragraph" w:customStyle="1" w:styleId="Kommentarthema1">
    <w:name w:val="Kommentarthema1"/>
    <w:basedOn w:val="Kommentartext1"/>
    <w:uiPriority w:val="99"/>
    <w:rsid w:val="003D6E0E"/>
    <w:rPr>
      <w:b/>
      <w:bCs/>
    </w:rPr>
  </w:style>
  <w:style w:type="paragraph" w:customStyle="1" w:styleId="Listenabsatz1">
    <w:name w:val="Listenabsatz1"/>
    <w:basedOn w:val="Standard"/>
    <w:uiPriority w:val="99"/>
    <w:rsid w:val="003D6E0E"/>
    <w:pPr>
      <w:ind w:left="720"/>
    </w:pPr>
  </w:style>
  <w:style w:type="paragraph" w:customStyle="1" w:styleId="TabellenInhalt">
    <w:name w:val="Tabellen Inhalt"/>
    <w:basedOn w:val="Standard"/>
    <w:uiPriority w:val="99"/>
    <w:rsid w:val="003D6E0E"/>
    <w:pPr>
      <w:suppressLineNumbers/>
    </w:pPr>
  </w:style>
  <w:style w:type="paragraph" w:customStyle="1" w:styleId="Tabellenberschrift">
    <w:name w:val="Tabellen Überschrift"/>
    <w:basedOn w:val="TabellenInhalt"/>
    <w:uiPriority w:val="99"/>
    <w:rsid w:val="003D6E0E"/>
    <w:pPr>
      <w:jc w:val="center"/>
    </w:pPr>
    <w:rPr>
      <w:b/>
      <w:bCs/>
    </w:rPr>
  </w:style>
  <w:style w:type="paragraph" w:customStyle="1" w:styleId="einzug-1">
    <w:name w:val="einzug-1"/>
    <w:basedOn w:val="Standard"/>
    <w:link w:val="einzug-1Zchn"/>
    <w:uiPriority w:val="99"/>
    <w:rsid w:val="003D6E0E"/>
    <w:pPr>
      <w:tabs>
        <w:tab w:val="left" w:pos="284"/>
      </w:tabs>
      <w:spacing w:line="288" w:lineRule="exact"/>
    </w:pPr>
  </w:style>
  <w:style w:type="character" w:styleId="Kommentarzeichen">
    <w:name w:val="annotation reference"/>
    <w:uiPriority w:val="99"/>
    <w:semiHidden/>
    <w:rsid w:val="0005484F"/>
    <w:rPr>
      <w:rFonts w:cs="Times New Roman"/>
      <w:sz w:val="16"/>
      <w:szCs w:val="16"/>
    </w:rPr>
  </w:style>
  <w:style w:type="paragraph" w:styleId="Kommentartext">
    <w:name w:val="annotation text"/>
    <w:basedOn w:val="Standard"/>
    <w:link w:val="KommentartextZchn"/>
    <w:uiPriority w:val="99"/>
    <w:semiHidden/>
    <w:rsid w:val="0005484F"/>
    <w:rPr>
      <w:sz w:val="20"/>
      <w:szCs w:val="20"/>
    </w:rPr>
  </w:style>
  <w:style w:type="character" w:customStyle="1" w:styleId="KommentartextZchn">
    <w:name w:val="Kommentartext Zchn"/>
    <w:link w:val="Kommentartext"/>
    <w:uiPriority w:val="99"/>
    <w:semiHidden/>
    <w:locked/>
    <w:rsid w:val="0005484F"/>
    <w:rPr>
      <w:rFonts w:ascii="Arial" w:hAnsi="Arial" w:cs="Arial"/>
      <w:kern w:val="1"/>
      <w:lang w:eastAsia="ar-SA" w:bidi="ar-SA"/>
    </w:rPr>
  </w:style>
  <w:style w:type="paragraph" w:styleId="Kommentarthema">
    <w:name w:val="annotation subject"/>
    <w:basedOn w:val="Kommentartext"/>
    <w:next w:val="Kommentartext"/>
    <w:link w:val="KommentarthemaZchn"/>
    <w:uiPriority w:val="99"/>
    <w:semiHidden/>
    <w:rsid w:val="0005484F"/>
    <w:rPr>
      <w:b/>
      <w:bCs/>
    </w:rPr>
  </w:style>
  <w:style w:type="character" w:customStyle="1" w:styleId="KommentarthemaZchn">
    <w:name w:val="Kommentarthema Zchn"/>
    <w:link w:val="Kommentarthema"/>
    <w:uiPriority w:val="99"/>
    <w:semiHidden/>
    <w:locked/>
    <w:rsid w:val="0005484F"/>
    <w:rPr>
      <w:rFonts w:ascii="Arial" w:hAnsi="Arial" w:cs="Arial"/>
      <w:b/>
      <w:bCs/>
      <w:kern w:val="1"/>
      <w:lang w:eastAsia="ar-SA" w:bidi="ar-SA"/>
    </w:rPr>
  </w:style>
  <w:style w:type="paragraph" w:styleId="Sprechblasentext">
    <w:name w:val="Balloon Text"/>
    <w:basedOn w:val="Standard"/>
    <w:link w:val="SprechblasentextZchn"/>
    <w:uiPriority w:val="99"/>
    <w:semiHidden/>
    <w:rsid w:val="0005484F"/>
    <w:rPr>
      <w:rFonts w:ascii="Tahoma" w:hAnsi="Tahoma" w:cs="Tahoma"/>
      <w:sz w:val="16"/>
      <w:szCs w:val="16"/>
    </w:rPr>
  </w:style>
  <w:style w:type="character" w:customStyle="1" w:styleId="SprechblasentextZchn">
    <w:name w:val="Sprechblasentext Zchn"/>
    <w:link w:val="Sprechblasentext"/>
    <w:uiPriority w:val="99"/>
    <w:semiHidden/>
    <w:locked/>
    <w:rsid w:val="0005484F"/>
    <w:rPr>
      <w:rFonts w:ascii="Tahoma" w:hAnsi="Tahoma" w:cs="Tahoma"/>
      <w:kern w:val="1"/>
      <w:sz w:val="16"/>
      <w:szCs w:val="16"/>
      <w:lang w:eastAsia="ar-SA" w:bidi="ar-SA"/>
    </w:rPr>
  </w:style>
  <w:style w:type="character" w:customStyle="1" w:styleId="einzug-1Zchn">
    <w:name w:val="einzug-1 Zchn"/>
    <w:link w:val="einzug-1"/>
    <w:uiPriority w:val="99"/>
    <w:locked/>
    <w:rsid w:val="0099475D"/>
    <w:rPr>
      <w:rFonts w:ascii="Arial" w:hAnsi="Arial" w:cs="Arial"/>
      <w:kern w:val="1"/>
      <w:sz w:val="24"/>
      <w:szCs w:val="24"/>
      <w:lang w:eastAsia="ar-SA" w:bidi="ar-SA"/>
    </w:rPr>
  </w:style>
  <w:style w:type="character" w:customStyle="1" w:styleId="ZW-fettZchn">
    <w:name w:val="ZW-fett Zchn"/>
    <w:uiPriority w:val="99"/>
    <w:rsid w:val="0099475D"/>
    <w:rPr>
      <w:rFonts w:ascii="Arial" w:hAnsi="Arial" w:cs="Arial"/>
      <w:b/>
      <w:bCs/>
      <w:sz w:val="24"/>
      <w:szCs w:val="24"/>
      <w:lang w:val="de-DE" w:eastAsia="de-DE"/>
    </w:rPr>
  </w:style>
  <w:style w:type="paragraph" w:styleId="Listenabsatz">
    <w:name w:val="List Paragraph"/>
    <w:basedOn w:val="Standard"/>
    <w:uiPriority w:val="99"/>
    <w:qFormat/>
    <w:rsid w:val="00DF5DB5"/>
    <w:pPr>
      <w:ind w:left="720"/>
    </w:pPr>
  </w:style>
  <w:style w:type="paragraph" w:styleId="Kopfzeile">
    <w:name w:val="header"/>
    <w:basedOn w:val="Standard"/>
    <w:link w:val="KopfzeileZchn"/>
    <w:uiPriority w:val="99"/>
    <w:semiHidden/>
    <w:rsid w:val="007A5600"/>
    <w:pPr>
      <w:tabs>
        <w:tab w:val="center" w:pos="4536"/>
        <w:tab w:val="right" w:pos="9072"/>
      </w:tabs>
    </w:pPr>
  </w:style>
  <w:style w:type="character" w:customStyle="1" w:styleId="KopfzeileZchn">
    <w:name w:val="Kopfzeile Zchn"/>
    <w:link w:val="Kopfzeile"/>
    <w:uiPriority w:val="99"/>
    <w:semiHidden/>
    <w:locked/>
    <w:rsid w:val="007A5600"/>
    <w:rPr>
      <w:rFonts w:ascii="Arial" w:hAnsi="Arial" w:cs="Arial"/>
      <w:kern w:val="1"/>
      <w:sz w:val="24"/>
      <w:szCs w:val="24"/>
      <w:lang w:eastAsia="ar-SA" w:bidi="ar-SA"/>
    </w:rPr>
  </w:style>
  <w:style w:type="paragraph" w:styleId="Fuzeile">
    <w:name w:val="footer"/>
    <w:basedOn w:val="Standard"/>
    <w:link w:val="FuzeileZchn"/>
    <w:uiPriority w:val="99"/>
    <w:rsid w:val="007A5600"/>
    <w:pPr>
      <w:tabs>
        <w:tab w:val="center" w:pos="4536"/>
        <w:tab w:val="right" w:pos="9072"/>
      </w:tabs>
    </w:pPr>
  </w:style>
  <w:style w:type="character" w:customStyle="1" w:styleId="FuzeileZchn">
    <w:name w:val="Fußzeile Zchn"/>
    <w:link w:val="Fuzeile"/>
    <w:uiPriority w:val="99"/>
    <w:locked/>
    <w:rsid w:val="007A5600"/>
    <w:rPr>
      <w:rFonts w:ascii="Arial" w:hAnsi="Arial" w:cs="Arial"/>
      <w:kern w:val="1"/>
      <w:sz w:val="24"/>
      <w:szCs w:val="24"/>
      <w:lang w:eastAsia="ar-SA" w:bidi="ar-SA"/>
    </w:rPr>
  </w:style>
  <w:style w:type="character" w:styleId="Hyperlink">
    <w:name w:val="Hyperlink"/>
    <w:uiPriority w:val="99"/>
    <w:rsid w:val="001F1DAC"/>
    <w:rPr>
      <w:rFonts w:cs="Times New Roman"/>
      <w:color w:val="0000FF"/>
      <w:u w:val="single"/>
    </w:rPr>
  </w:style>
  <w:style w:type="paragraph" w:customStyle="1" w:styleId="Default">
    <w:name w:val="Default"/>
    <w:uiPriority w:val="99"/>
    <w:rsid w:val="00244E37"/>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rsid w:val="00A20DA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00895">
      <w:marLeft w:val="0"/>
      <w:marRight w:val="0"/>
      <w:marTop w:val="0"/>
      <w:marBottom w:val="0"/>
      <w:divBdr>
        <w:top w:val="none" w:sz="0" w:space="0" w:color="auto"/>
        <w:left w:val="none" w:sz="0" w:space="0" w:color="auto"/>
        <w:bottom w:val="none" w:sz="0" w:space="0" w:color="auto"/>
        <w:right w:val="none" w:sz="0" w:space="0" w:color="auto"/>
      </w:divBdr>
    </w:div>
    <w:div w:id="1832600896">
      <w:marLeft w:val="0"/>
      <w:marRight w:val="0"/>
      <w:marTop w:val="0"/>
      <w:marBottom w:val="0"/>
      <w:divBdr>
        <w:top w:val="none" w:sz="0" w:space="0" w:color="auto"/>
        <w:left w:val="none" w:sz="0" w:space="0" w:color="auto"/>
        <w:bottom w:val="none" w:sz="0" w:space="0" w:color="auto"/>
        <w:right w:val="none" w:sz="0" w:space="0" w:color="auto"/>
      </w:divBdr>
      <w:divsChild>
        <w:div w:id="1832600894">
          <w:marLeft w:val="0"/>
          <w:marRight w:val="0"/>
          <w:marTop w:val="0"/>
          <w:marBottom w:val="0"/>
          <w:divBdr>
            <w:top w:val="none" w:sz="0" w:space="0" w:color="auto"/>
            <w:left w:val="none" w:sz="0" w:space="0" w:color="auto"/>
            <w:bottom w:val="none" w:sz="0" w:space="0" w:color="auto"/>
            <w:right w:val="none" w:sz="0" w:space="0" w:color="auto"/>
          </w:divBdr>
        </w:div>
        <w:div w:id="1832600899">
          <w:marLeft w:val="0"/>
          <w:marRight w:val="0"/>
          <w:marTop w:val="0"/>
          <w:marBottom w:val="0"/>
          <w:divBdr>
            <w:top w:val="none" w:sz="0" w:space="0" w:color="auto"/>
            <w:left w:val="none" w:sz="0" w:space="0" w:color="auto"/>
            <w:bottom w:val="none" w:sz="0" w:space="0" w:color="auto"/>
            <w:right w:val="none" w:sz="0" w:space="0" w:color="auto"/>
          </w:divBdr>
        </w:div>
        <w:div w:id="1832600900">
          <w:marLeft w:val="0"/>
          <w:marRight w:val="0"/>
          <w:marTop w:val="0"/>
          <w:marBottom w:val="0"/>
          <w:divBdr>
            <w:top w:val="none" w:sz="0" w:space="0" w:color="auto"/>
            <w:left w:val="none" w:sz="0" w:space="0" w:color="auto"/>
            <w:bottom w:val="none" w:sz="0" w:space="0" w:color="auto"/>
            <w:right w:val="none" w:sz="0" w:space="0" w:color="auto"/>
          </w:divBdr>
        </w:div>
        <w:div w:id="1832600901">
          <w:marLeft w:val="0"/>
          <w:marRight w:val="0"/>
          <w:marTop w:val="0"/>
          <w:marBottom w:val="0"/>
          <w:divBdr>
            <w:top w:val="none" w:sz="0" w:space="0" w:color="auto"/>
            <w:left w:val="none" w:sz="0" w:space="0" w:color="auto"/>
            <w:bottom w:val="none" w:sz="0" w:space="0" w:color="auto"/>
            <w:right w:val="none" w:sz="0" w:space="0" w:color="auto"/>
          </w:divBdr>
        </w:div>
        <w:div w:id="1832600908">
          <w:marLeft w:val="0"/>
          <w:marRight w:val="0"/>
          <w:marTop w:val="0"/>
          <w:marBottom w:val="0"/>
          <w:divBdr>
            <w:top w:val="none" w:sz="0" w:space="0" w:color="auto"/>
            <w:left w:val="none" w:sz="0" w:space="0" w:color="auto"/>
            <w:bottom w:val="none" w:sz="0" w:space="0" w:color="auto"/>
            <w:right w:val="none" w:sz="0" w:space="0" w:color="auto"/>
          </w:divBdr>
        </w:div>
      </w:divsChild>
    </w:div>
    <w:div w:id="1832600897">
      <w:marLeft w:val="0"/>
      <w:marRight w:val="0"/>
      <w:marTop w:val="0"/>
      <w:marBottom w:val="0"/>
      <w:divBdr>
        <w:top w:val="none" w:sz="0" w:space="0" w:color="auto"/>
        <w:left w:val="none" w:sz="0" w:space="0" w:color="auto"/>
        <w:bottom w:val="none" w:sz="0" w:space="0" w:color="auto"/>
        <w:right w:val="none" w:sz="0" w:space="0" w:color="auto"/>
      </w:divBdr>
    </w:div>
    <w:div w:id="1832600898">
      <w:marLeft w:val="0"/>
      <w:marRight w:val="0"/>
      <w:marTop w:val="0"/>
      <w:marBottom w:val="0"/>
      <w:divBdr>
        <w:top w:val="none" w:sz="0" w:space="0" w:color="auto"/>
        <w:left w:val="none" w:sz="0" w:space="0" w:color="auto"/>
        <w:bottom w:val="none" w:sz="0" w:space="0" w:color="auto"/>
        <w:right w:val="none" w:sz="0" w:space="0" w:color="auto"/>
      </w:divBdr>
    </w:div>
    <w:div w:id="1832600903">
      <w:marLeft w:val="0"/>
      <w:marRight w:val="0"/>
      <w:marTop w:val="0"/>
      <w:marBottom w:val="0"/>
      <w:divBdr>
        <w:top w:val="none" w:sz="0" w:space="0" w:color="auto"/>
        <w:left w:val="none" w:sz="0" w:space="0" w:color="auto"/>
        <w:bottom w:val="none" w:sz="0" w:space="0" w:color="auto"/>
        <w:right w:val="none" w:sz="0" w:space="0" w:color="auto"/>
      </w:divBdr>
    </w:div>
    <w:div w:id="1832600904">
      <w:marLeft w:val="0"/>
      <w:marRight w:val="0"/>
      <w:marTop w:val="0"/>
      <w:marBottom w:val="0"/>
      <w:divBdr>
        <w:top w:val="none" w:sz="0" w:space="0" w:color="auto"/>
        <w:left w:val="none" w:sz="0" w:space="0" w:color="auto"/>
        <w:bottom w:val="none" w:sz="0" w:space="0" w:color="auto"/>
        <w:right w:val="none" w:sz="0" w:space="0" w:color="auto"/>
      </w:divBdr>
    </w:div>
    <w:div w:id="1832600905">
      <w:marLeft w:val="0"/>
      <w:marRight w:val="0"/>
      <w:marTop w:val="0"/>
      <w:marBottom w:val="0"/>
      <w:divBdr>
        <w:top w:val="none" w:sz="0" w:space="0" w:color="auto"/>
        <w:left w:val="none" w:sz="0" w:space="0" w:color="auto"/>
        <w:bottom w:val="none" w:sz="0" w:space="0" w:color="auto"/>
        <w:right w:val="none" w:sz="0" w:space="0" w:color="auto"/>
      </w:divBdr>
    </w:div>
    <w:div w:id="1832600906">
      <w:marLeft w:val="0"/>
      <w:marRight w:val="0"/>
      <w:marTop w:val="0"/>
      <w:marBottom w:val="0"/>
      <w:divBdr>
        <w:top w:val="none" w:sz="0" w:space="0" w:color="auto"/>
        <w:left w:val="none" w:sz="0" w:space="0" w:color="auto"/>
        <w:bottom w:val="none" w:sz="0" w:space="0" w:color="auto"/>
        <w:right w:val="none" w:sz="0" w:space="0" w:color="auto"/>
      </w:divBdr>
    </w:div>
    <w:div w:id="1832600907">
      <w:marLeft w:val="0"/>
      <w:marRight w:val="0"/>
      <w:marTop w:val="0"/>
      <w:marBottom w:val="0"/>
      <w:divBdr>
        <w:top w:val="none" w:sz="0" w:space="0" w:color="auto"/>
        <w:left w:val="none" w:sz="0" w:space="0" w:color="auto"/>
        <w:bottom w:val="none" w:sz="0" w:space="0" w:color="auto"/>
        <w:right w:val="none" w:sz="0" w:space="0" w:color="auto"/>
      </w:divBdr>
    </w:div>
    <w:div w:id="1832600909">
      <w:marLeft w:val="0"/>
      <w:marRight w:val="0"/>
      <w:marTop w:val="0"/>
      <w:marBottom w:val="0"/>
      <w:divBdr>
        <w:top w:val="none" w:sz="0" w:space="0" w:color="auto"/>
        <w:left w:val="none" w:sz="0" w:space="0" w:color="auto"/>
        <w:bottom w:val="none" w:sz="0" w:space="0" w:color="auto"/>
        <w:right w:val="none" w:sz="0" w:space="0" w:color="auto"/>
      </w:divBdr>
    </w:div>
    <w:div w:id="1832600910">
      <w:marLeft w:val="0"/>
      <w:marRight w:val="0"/>
      <w:marTop w:val="0"/>
      <w:marBottom w:val="0"/>
      <w:divBdr>
        <w:top w:val="none" w:sz="0" w:space="0" w:color="auto"/>
        <w:left w:val="none" w:sz="0" w:space="0" w:color="auto"/>
        <w:bottom w:val="none" w:sz="0" w:space="0" w:color="auto"/>
        <w:right w:val="none" w:sz="0" w:space="0" w:color="auto"/>
      </w:divBdr>
      <w:divsChild>
        <w:div w:id="18326009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9979E091.dotm</Template>
  <TotalTime>0</TotalTime>
  <Pages>7</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&gt;</vt:lpstr>
    </vt:vector>
  </TitlesOfParts>
  <Company>MSW NRW</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creator>bial</dc:creator>
  <cp:lastModifiedBy>Bial, Jessica</cp:lastModifiedBy>
  <cp:revision>2</cp:revision>
  <cp:lastPrinted>2002-12-31T22:12:00Z</cp:lastPrinted>
  <dcterms:created xsi:type="dcterms:W3CDTF">2015-12-11T13:06:00Z</dcterms:created>
  <dcterms:modified xsi:type="dcterms:W3CDTF">2015-12-11T13:06:00Z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