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DF24E0" w:rsidP="008262A6">
      <w:pPr>
        <w:pStyle w:val="Titel"/>
      </w:pPr>
      <w:r>
        <w:t xml:space="preserve">B2.2 </w:t>
      </w:r>
      <w:bookmarkStart w:id="0" w:name="_GoBack"/>
      <w:bookmarkEnd w:id="0"/>
      <w:r w:rsidR="00EF74B0">
        <w:t>Wie groß sind diese Quadrate?</w:t>
      </w:r>
    </w:p>
    <w:p w:rsidR="008E5E67" w:rsidRDefault="00EF74B0" w:rsidP="00660A83">
      <w:r>
        <w:t xml:space="preserve">1. Wie groß sind diese Quadrate? </w:t>
      </w:r>
      <w:r w:rsidR="004D56D3">
        <w:t>Bestimme</w:t>
      </w:r>
      <w:r>
        <w:t xml:space="preserve"> ihre Fläche</w:t>
      </w:r>
      <w:r w:rsidR="000F71D1">
        <w:t>.</w:t>
      </w:r>
    </w:p>
    <w:p w:rsidR="00EF74B0" w:rsidRDefault="00EF74B0" w:rsidP="00660A83">
      <w:r>
        <w:t>Zeichne</w:t>
      </w:r>
      <w:r w:rsidR="00AA1161">
        <w:t xml:space="preserve"> dir ein Raster</w:t>
      </w:r>
      <w:r>
        <w:t>. Schreibe dann deine Rechnung auf.</w:t>
      </w:r>
    </w:p>
    <w:tbl>
      <w:tblPr>
        <w:tblStyle w:val="Tabellenraster"/>
        <w:tblW w:w="0" w:type="auto"/>
        <w:tblLayout w:type="fixed"/>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gridCol w:w="567"/>
        <w:gridCol w:w="567"/>
        <w:gridCol w:w="567"/>
        <w:gridCol w:w="567"/>
        <w:gridCol w:w="567"/>
      </w:tblGrid>
      <w:tr w:rsidR="00EF74B0" w:rsidTr="00AA1161">
        <w:trPr>
          <w:trHeight w:hRule="exact" w:val="567"/>
        </w:trPr>
        <w:tc>
          <w:tcPr>
            <w:tcW w:w="567" w:type="dxa"/>
            <w:tcBorders>
              <w:top w:val="single" w:sz="18" w:space="0" w:color="auto"/>
              <w:left w:val="single" w:sz="18" w:space="0" w:color="auto"/>
              <w:bottom w:val="single" w:sz="4" w:space="0" w:color="auto"/>
              <w:right w:val="single" w:sz="4" w:space="0" w:color="auto"/>
            </w:tcBorders>
          </w:tcPr>
          <w:p w:rsidR="00EF74B0" w:rsidRDefault="00EF74B0" w:rsidP="00C52024"/>
        </w:tc>
        <w:tc>
          <w:tcPr>
            <w:tcW w:w="567" w:type="dxa"/>
            <w:tcBorders>
              <w:top w:val="single" w:sz="18" w:space="0" w:color="auto"/>
              <w:left w:val="single" w:sz="4" w:space="0" w:color="auto"/>
              <w:bottom w:val="single" w:sz="4" w:space="0" w:color="FFFFFF" w:themeColor="background1"/>
            </w:tcBorders>
          </w:tcPr>
          <w:p w:rsidR="00EF74B0" w:rsidRDefault="00EF74B0" w:rsidP="00C52024"/>
        </w:tc>
        <w:tc>
          <w:tcPr>
            <w:tcW w:w="567" w:type="dxa"/>
            <w:tcBorders>
              <w:top w:val="single" w:sz="18" w:space="0" w:color="auto"/>
              <w:bottom w:val="single" w:sz="4" w:space="0" w:color="FFFFFF" w:themeColor="background1"/>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single" w:sz="18" w:space="0" w:color="auto"/>
              <w:left w:val="single" w:sz="18" w:space="0" w:color="auto"/>
              <w:bottom w:val="nil"/>
            </w:tcBorders>
          </w:tcPr>
          <w:p w:rsidR="00EF74B0" w:rsidRDefault="00EF74B0" w:rsidP="00C52024"/>
        </w:tc>
        <w:tc>
          <w:tcPr>
            <w:tcW w:w="567" w:type="dxa"/>
            <w:tcBorders>
              <w:top w:val="single" w:sz="18" w:space="0" w:color="auto"/>
              <w:bottom w:val="nil"/>
            </w:tcBorders>
          </w:tcPr>
          <w:p w:rsidR="00EF74B0" w:rsidRDefault="00EF74B0" w:rsidP="00C52024"/>
        </w:tc>
        <w:tc>
          <w:tcPr>
            <w:tcW w:w="567" w:type="dxa"/>
            <w:tcBorders>
              <w:top w:val="single" w:sz="18" w:space="0" w:color="auto"/>
              <w:bottom w:val="nil"/>
            </w:tcBorders>
          </w:tcPr>
          <w:p w:rsidR="00EF74B0" w:rsidRDefault="00EF74B0" w:rsidP="00C52024"/>
        </w:tc>
        <w:tc>
          <w:tcPr>
            <w:tcW w:w="567" w:type="dxa"/>
            <w:tcBorders>
              <w:top w:val="single" w:sz="18" w:space="0" w:color="auto"/>
              <w:bottom w:val="single" w:sz="4" w:space="0" w:color="auto"/>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single" w:sz="18" w:space="0" w:color="auto"/>
              <w:left w:val="single" w:sz="18" w:space="0" w:color="auto"/>
              <w:bottom w:val="nil"/>
              <w:right w:val="nil"/>
            </w:tcBorders>
          </w:tcPr>
          <w:p w:rsidR="00EF74B0" w:rsidRDefault="00EF74B0" w:rsidP="00C52024"/>
        </w:tc>
        <w:tc>
          <w:tcPr>
            <w:tcW w:w="567" w:type="dxa"/>
            <w:tcBorders>
              <w:top w:val="single" w:sz="18" w:space="0" w:color="auto"/>
              <w:left w:val="nil"/>
              <w:bottom w:val="nil"/>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single" w:sz="18" w:space="0" w:color="auto"/>
              <w:left w:val="single" w:sz="18" w:space="0" w:color="auto"/>
              <w:bottom w:val="nil"/>
              <w:right w:val="nil"/>
            </w:tcBorders>
          </w:tcPr>
          <w:p w:rsidR="00EF74B0" w:rsidRDefault="00EF74B0" w:rsidP="00C52024"/>
        </w:tc>
        <w:tc>
          <w:tcPr>
            <w:tcW w:w="567" w:type="dxa"/>
            <w:tcBorders>
              <w:top w:val="single" w:sz="18" w:space="0" w:color="auto"/>
              <w:left w:val="nil"/>
              <w:bottom w:val="nil"/>
              <w:right w:val="nil"/>
            </w:tcBorders>
          </w:tcPr>
          <w:p w:rsidR="00EF74B0" w:rsidRDefault="00EF74B0" w:rsidP="00C52024"/>
        </w:tc>
        <w:tc>
          <w:tcPr>
            <w:tcW w:w="567" w:type="dxa"/>
            <w:tcBorders>
              <w:top w:val="single" w:sz="18" w:space="0" w:color="auto"/>
              <w:left w:val="nil"/>
              <w:bottom w:val="nil"/>
              <w:right w:val="nil"/>
            </w:tcBorders>
          </w:tcPr>
          <w:p w:rsidR="00EF74B0" w:rsidRDefault="00EF74B0" w:rsidP="00C52024"/>
        </w:tc>
        <w:tc>
          <w:tcPr>
            <w:tcW w:w="567" w:type="dxa"/>
            <w:tcBorders>
              <w:top w:val="single" w:sz="18" w:space="0" w:color="auto"/>
              <w:left w:val="nil"/>
              <w:bottom w:val="nil"/>
              <w:right w:val="nil"/>
            </w:tcBorders>
          </w:tcPr>
          <w:p w:rsidR="00EF74B0" w:rsidRDefault="00EF74B0" w:rsidP="00C52024"/>
        </w:tc>
        <w:tc>
          <w:tcPr>
            <w:tcW w:w="567" w:type="dxa"/>
            <w:tcBorders>
              <w:top w:val="single" w:sz="18" w:space="0" w:color="auto"/>
              <w:left w:val="nil"/>
              <w:bottom w:val="nil"/>
              <w:right w:val="single" w:sz="18" w:space="0" w:color="auto"/>
            </w:tcBorders>
          </w:tcPr>
          <w:p w:rsidR="00EF74B0" w:rsidRDefault="00EF74B0" w:rsidP="00C52024"/>
        </w:tc>
      </w:tr>
      <w:tr w:rsidR="00EF74B0" w:rsidTr="00AA1161">
        <w:trPr>
          <w:trHeight w:hRule="exact" w:val="567"/>
        </w:trPr>
        <w:tc>
          <w:tcPr>
            <w:tcW w:w="567" w:type="dxa"/>
            <w:tcBorders>
              <w:top w:val="single" w:sz="4" w:space="0" w:color="auto"/>
              <w:left w:val="single" w:sz="18" w:space="0" w:color="auto"/>
              <w:right w:val="single" w:sz="4" w:space="0" w:color="FFFFFF" w:themeColor="background1"/>
            </w:tcBorders>
          </w:tcPr>
          <w:p w:rsidR="00EF74B0" w:rsidRDefault="00EF74B0" w:rsidP="00C52024"/>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F74B0" w:rsidRDefault="00EF74B0" w:rsidP="00C52024"/>
        </w:tc>
        <w:tc>
          <w:tcPr>
            <w:tcW w:w="567" w:type="dxa"/>
            <w:tcBorders>
              <w:top w:val="single" w:sz="4" w:space="0" w:color="FFFFFF" w:themeColor="background1"/>
              <w:left w:val="single" w:sz="4" w:space="0" w:color="FFFFFF" w:themeColor="background1"/>
              <w:bottom w:val="single" w:sz="4" w:space="0" w:color="FFFFFF" w:themeColor="background1"/>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nil"/>
              <w:left w:val="single" w:sz="18" w:space="0" w:color="auto"/>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left w:val="nil"/>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nil"/>
              <w:left w:val="single" w:sz="18" w:space="0" w:color="auto"/>
              <w:bottom w:val="single" w:sz="18" w:space="0" w:color="auto"/>
              <w:right w:val="nil"/>
            </w:tcBorders>
          </w:tcPr>
          <w:p w:rsidR="00EF74B0" w:rsidRDefault="00EF74B0" w:rsidP="00C52024"/>
        </w:tc>
        <w:tc>
          <w:tcPr>
            <w:tcW w:w="567" w:type="dxa"/>
            <w:tcBorders>
              <w:top w:val="nil"/>
              <w:left w:val="nil"/>
              <w:bottom w:val="single" w:sz="18" w:space="0" w:color="auto"/>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nil"/>
              <w:left w:val="single" w:sz="18" w:space="0" w:color="auto"/>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single" w:sz="18" w:space="0" w:color="auto"/>
            </w:tcBorders>
          </w:tcPr>
          <w:p w:rsidR="00EF74B0" w:rsidRDefault="00EF74B0" w:rsidP="00C52024"/>
        </w:tc>
      </w:tr>
      <w:tr w:rsidR="00EF74B0" w:rsidTr="00AA1161">
        <w:trPr>
          <w:trHeight w:hRule="exact" w:val="567"/>
        </w:trPr>
        <w:tc>
          <w:tcPr>
            <w:tcW w:w="567" w:type="dxa"/>
            <w:tcBorders>
              <w:left w:val="single" w:sz="18" w:space="0" w:color="auto"/>
              <w:bottom w:val="single" w:sz="18" w:space="0" w:color="auto"/>
              <w:right w:val="single" w:sz="4" w:space="0" w:color="FFFFFF" w:themeColor="background1"/>
            </w:tcBorders>
          </w:tcPr>
          <w:p w:rsidR="00EF74B0" w:rsidRDefault="00EF74B0" w:rsidP="00C52024"/>
        </w:tc>
        <w:tc>
          <w:tcPr>
            <w:tcW w:w="567" w:type="dxa"/>
            <w:tcBorders>
              <w:top w:val="single" w:sz="4" w:space="0" w:color="FFFFFF" w:themeColor="background1"/>
              <w:left w:val="single" w:sz="4" w:space="0" w:color="FFFFFF" w:themeColor="background1"/>
              <w:bottom w:val="single" w:sz="18" w:space="0" w:color="auto"/>
              <w:right w:val="single" w:sz="4" w:space="0" w:color="FFFFFF" w:themeColor="background1"/>
            </w:tcBorders>
          </w:tcPr>
          <w:p w:rsidR="00EF74B0" w:rsidRDefault="00EF74B0" w:rsidP="00C52024"/>
        </w:tc>
        <w:tc>
          <w:tcPr>
            <w:tcW w:w="567" w:type="dxa"/>
            <w:tcBorders>
              <w:top w:val="single" w:sz="4" w:space="0" w:color="FFFFFF" w:themeColor="background1"/>
              <w:left w:val="single" w:sz="4" w:space="0" w:color="FFFFFF" w:themeColor="background1"/>
              <w:bottom w:val="single" w:sz="18" w:space="0" w:color="auto"/>
              <w:right w:val="single" w:sz="18" w:space="0" w:color="auto"/>
            </w:tcBorders>
          </w:tcPr>
          <w:p w:rsidR="00EF74B0" w:rsidRDefault="00EF74B0" w:rsidP="00C52024"/>
        </w:tc>
        <w:tc>
          <w:tcPr>
            <w:tcW w:w="567" w:type="dxa"/>
            <w:tcBorders>
              <w:left w:val="single" w:sz="18" w:space="0" w:color="auto"/>
              <w:right w:val="single" w:sz="18" w:space="0" w:color="auto"/>
            </w:tcBorders>
          </w:tcPr>
          <w:p w:rsidR="00EF74B0" w:rsidRDefault="00EF74B0" w:rsidP="00C52024"/>
        </w:tc>
        <w:tc>
          <w:tcPr>
            <w:tcW w:w="567" w:type="dxa"/>
            <w:tcBorders>
              <w:top w:val="nil"/>
              <w:left w:val="single" w:sz="18" w:space="0" w:color="auto"/>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left w:val="nil"/>
              <w:right w:val="single" w:sz="18" w:space="0" w:color="auto"/>
            </w:tcBorders>
          </w:tcPr>
          <w:p w:rsidR="00EF74B0" w:rsidRDefault="00EF74B0" w:rsidP="00C52024"/>
        </w:tc>
        <w:tc>
          <w:tcPr>
            <w:tcW w:w="567" w:type="dxa"/>
            <w:tcBorders>
              <w:left w:val="single" w:sz="18" w:space="0" w:color="auto"/>
            </w:tcBorders>
          </w:tcPr>
          <w:p w:rsidR="00EF74B0" w:rsidRDefault="00EF74B0" w:rsidP="00C52024"/>
        </w:tc>
        <w:tc>
          <w:tcPr>
            <w:tcW w:w="567" w:type="dxa"/>
            <w:tcBorders>
              <w:top w:val="single" w:sz="18" w:space="0" w:color="auto"/>
            </w:tcBorders>
          </w:tcPr>
          <w:p w:rsidR="00EF74B0" w:rsidRPr="00AA1161" w:rsidRDefault="00AA1161" w:rsidP="00C52024">
            <w:pPr>
              <w:rPr>
                <w:b/>
              </w:rPr>
            </w:pPr>
            <w:r w:rsidRPr="00AA1161">
              <w:rPr>
                <w:b/>
              </w:rPr>
              <w:t>C</w:t>
            </w:r>
          </w:p>
        </w:tc>
        <w:tc>
          <w:tcPr>
            <w:tcW w:w="567" w:type="dxa"/>
            <w:tcBorders>
              <w:top w:val="single" w:sz="18" w:space="0" w:color="auto"/>
            </w:tcBorders>
          </w:tcPr>
          <w:p w:rsidR="00EF74B0" w:rsidRDefault="00EF74B0" w:rsidP="00C52024"/>
        </w:tc>
        <w:tc>
          <w:tcPr>
            <w:tcW w:w="567" w:type="dxa"/>
            <w:tcBorders>
              <w:right w:val="single" w:sz="18" w:space="0" w:color="auto"/>
            </w:tcBorders>
          </w:tcPr>
          <w:p w:rsidR="00EF74B0" w:rsidRDefault="00EF74B0" w:rsidP="00C52024"/>
        </w:tc>
        <w:tc>
          <w:tcPr>
            <w:tcW w:w="567" w:type="dxa"/>
            <w:tcBorders>
              <w:top w:val="nil"/>
              <w:left w:val="single" w:sz="18" w:space="0" w:color="auto"/>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single" w:sz="18" w:space="0" w:color="auto"/>
            </w:tcBorders>
          </w:tcPr>
          <w:p w:rsidR="00EF74B0" w:rsidRDefault="00EF74B0" w:rsidP="00C52024"/>
        </w:tc>
      </w:tr>
      <w:tr w:rsidR="00EF74B0" w:rsidTr="00C52024">
        <w:trPr>
          <w:trHeight w:hRule="exact" w:val="567"/>
        </w:trPr>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Borders>
              <w:right w:val="single" w:sz="18" w:space="0" w:color="auto"/>
            </w:tcBorders>
          </w:tcPr>
          <w:p w:rsidR="00EF74B0" w:rsidRDefault="00EF74B0" w:rsidP="00C52024"/>
        </w:tc>
        <w:tc>
          <w:tcPr>
            <w:tcW w:w="567" w:type="dxa"/>
            <w:tcBorders>
              <w:top w:val="nil"/>
              <w:left w:val="single" w:sz="18" w:space="0" w:color="auto"/>
              <w:bottom w:val="single" w:sz="18" w:space="0" w:color="auto"/>
              <w:right w:val="nil"/>
            </w:tcBorders>
          </w:tcPr>
          <w:p w:rsidR="00EF74B0" w:rsidRDefault="00EF74B0" w:rsidP="00C52024"/>
        </w:tc>
        <w:tc>
          <w:tcPr>
            <w:tcW w:w="567" w:type="dxa"/>
            <w:tcBorders>
              <w:top w:val="nil"/>
              <w:left w:val="nil"/>
              <w:bottom w:val="single" w:sz="18" w:space="0" w:color="auto"/>
              <w:right w:val="nil"/>
            </w:tcBorders>
          </w:tcPr>
          <w:p w:rsidR="00EF74B0" w:rsidRDefault="00EF74B0" w:rsidP="00C52024"/>
        </w:tc>
        <w:tc>
          <w:tcPr>
            <w:tcW w:w="567" w:type="dxa"/>
            <w:tcBorders>
              <w:top w:val="nil"/>
              <w:left w:val="nil"/>
              <w:bottom w:val="single" w:sz="18" w:space="0" w:color="auto"/>
              <w:right w:val="nil"/>
            </w:tcBorders>
          </w:tcPr>
          <w:p w:rsidR="00EF74B0" w:rsidRDefault="00EF74B0" w:rsidP="00C52024"/>
        </w:tc>
        <w:tc>
          <w:tcPr>
            <w:tcW w:w="567" w:type="dxa"/>
            <w:tcBorders>
              <w:left w:val="nil"/>
              <w:bottom w:val="single" w:sz="18" w:space="0" w:color="auto"/>
              <w:right w:val="single" w:sz="18" w:space="0" w:color="auto"/>
            </w:tcBorders>
          </w:tcPr>
          <w:p w:rsidR="00EF74B0" w:rsidRDefault="00EF74B0" w:rsidP="00C52024"/>
        </w:tc>
        <w:tc>
          <w:tcPr>
            <w:tcW w:w="567" w:type="dxa"/>
            <w:tcBorders>
              <w:left w:val="single" w:sz="18" w:space="0" w:color="auto"/>
            </w:tcBorders>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Borders>
              <w:right w:val="single" w:sz="18" w:space="0" w:color="auto"/>
            </w:tcBorders>
          </w:tcPr>
          <w:p w:rsidR="00EF74B0" w:rsidRDefault="00EF74B0" w:rsidP="00C52024"/>
        </w:tc>
        <w:tc>
          <w:tcPr>
            <w:tcW w:w="567" w:type="dxa"/>
            <w:tcBorders>
              <w:top w:val="nil"/>
              <w:left w:val="single" w:sz="18" w:space="0" w:color="auto"/>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nil"/>
            </w:tcBorders>
          </w:tcPr>
          <w:p w:rsidR="00EF74B0" w:rsidRDefault="00EF74B0" w:rsidP="00C52024"/>
        </w:tc>
        <w:tc>
          <w:tcPr>
            <w:tcW w:w="567" w:type="dxa"/>
            <w:tcBorders>
              <w:top w:val="nil"/>
              <w:left w:val="nil"/>
              <w:bottom w:val="nil"/>
              <w:right w:val="single" w:sz="18" w:space="0" w:color="auto"/>
            </w:tcBorders>
          </w:tcPr>
          <w:p w:rsidR="00EF74B0" w:rsidRDefault="00EF74B0" w:rsidP="00C52024"/>
        </w:tc>
      </w:tr>
      <w:tr w:rsidR="00EF74B0" w:rsidTr="00C52024">
        <w:trPr>
          <w:trHeight w:hRule="exact" w:val="567"/>
        </w:trPr>
        <w:tc>
          <w:tcPr>
            <w:tcW w:w="567" w:type="dxa"/>
          </w:tcPr>
          <w:p w:rsidR="00EF74B0" w:rsidRPr="00AA1161" w:rsidRDefault="00AA1161" w:rsidP="00C52024">
            <w:pPr>
              <w:rPr>
                <w:b/>
              </w:rPr>
            </w:pPr>
            <w:r w:rsidRPr="00AA1161">
              <w:rPr>
                <w:b/>
              </w:rPr>
              <w:t>A</w:t>
            </w:r>
          </w:p>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Borders>
              <w:top w:val="single" w:sz="18" w:space="0" w:color="auto"/>
            </w:tcBorders>
          </w:tcPr>
          <w:p w:rsidR="00EF74B0" w:rsidRPr="00AA1161" w:rsidRDefault="00AA1161" w:rsidP="00C52024">
            <w:pPr>
              <w:rPr>
                <w:b/>
              </w:rPr>
            </w:pPr>
            <w:r w:rsidRPr="00AA1161">
              <w:rPr>
                <w:b/>
              </w:rPr>
              <w:t>B</w:t>
            </w:r>
          </w:p>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Borders>
              <w:right w:val="single" w:sz="18" w:space="0" w:color="auto"/>
            </w:tcBorders>
          </w:tcPr>
          <w:p w:rsidR="00EF74B0" w:rsidRDefault="00EF74B0" w:rsidP="00C52024"/>
        </w:tc>
        <w:tc>
          <w:tcPr>
            <w:tcW w:w="567" w:type="dxa"/>
            <w:tcBorders>
              <w:top w:val="nil"/>
              <w:left w:val="single" w:sz="18" w:space="0" w:color="auto"/>
              <w:bottom w:val="single" w:sz="18" w:space="0" w:color="auto"/>
              <w:right w:val="nil"/>
            </w:tcBorders>
          </w:tcPr>
          <w:p w:rsidR="00EF74B0" w:rsidRDefault="00EF74B0" w:rsidP="00C52024"/>
        </w:tc>
        <w:tc>
          <w:tcPr>
            <w:tcW w:w="567" w:type="dxa"/>
            <w:tcBorders>
              <w:top w:val="nil"/>
              <w:left w:val="nil"/>
              <w:bottom w:val="single" w:sz="18" w:space="0" w:color="auto"/>
              <w:right w:val="nil"/>
            </w:tcBorders>
          </w:tcPr>
          <w:p w:rsidR="00EF74B0" w:rsidRDefault="00EF74B0" w:rsidP="00C52024"/>
        </w:tc>
        <w:tc>
          <w:tcPr>
            <w:tcW w:w="567" w:type="dxa"/>
            <w:tcBorders>
              <w:top w:val="nil"/>
              <w:left w:val="nil"/>
              <w:bottom w:val="single" w:sz="18" w:space="0" w:color="auto"/>
              <w:right w:val="nil"/>
            </w:tcBorders>
          </w:tcPr>
          <w:p w:rsidR="00EF74B0" w:rsidRDefault="00EF74B0" w:rsidP="00C52024"/>
        </w:tc>
        <w:tc>
          <w:tcPr>
            <w:tcW w:w="567" w:type="dxa"/>
            <w:tcBorders>
              <w:top w:val="nil"/>
              <w:left w:val="nil"/>
              <w:bottom w:val="single" w:sz="18" w:space="0" w:color="auto"/>
              <w:right w:val="nil"/>
            </w:tcBorders>
          </w:tcPr>
          <w:p w:rsidR="00EF74B0" w:rsidRDefault="00EF74B0" w:rsidP="00C52024"/>
        </w:tc>
        <w:tc>
          <w:tcPr>
            <w:tcW w:w="567" w:type="dxa"/>
            <w:tcBorders>
              <w:top w:val="nil"/>
              <w:left w:val="nil"/>
              <w:bottom w:val="single" w:sz="18" w:space="0" w:color="auto"/>
              <w:right w:val="single" w:sz="18" w:space="0" w:color="auto"/>
            </w:tcBorders>
          </w:tcPr>
          <w:p w:rsidR="00EF74B0" w:rsidRDefault="00EF74B0" w:rsidP="00C52024"/>
        </w:tc>
      </w:tr>
      <w:tr w:rsidR="00EF74B0" w:rsidTr="00C52024">
        <w:trPr>
          <w:trHeight w:hRule="exact" w:val="567"/>
        </w:trPr>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Borders>
              <w:top w:val="single" w:sz="18" w:space="0" w:color="auto"/>
            </w:tcBorders>
          </w:tcPr>
          <w:p w:rsidR="00EF74B0" w:rsidRPr="00AA1161" w:rsidRDefault="00AA1161" w:rsidP="00C52024">
            <w:pPr>
              <w:rPr>
                <w:b/>
              </w:rPr>
            </w:pPr>
            <w:r w:rsidRPr="00AA1161">
              <w:rPr>
                <w:b/>
              </w:rPr>
              <w:t>D</w:t>
            </w:r>
          </w:p>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c>
          <w:tcPr>
            <w:tcW w:w="567" w:type="dxa"/>
            <w:tcBorders>
              <w:top w:val="single" w:sz="18" w:space="0" w:color="auto"/>
            </w:tcBorders>
          </w:tcPr>
          <w:p w:rsidR="00EF74B0" w:rsidRDefault="00EF74B0" w:rsidP="00C52024"/>
        </w:tc>
      </w:tr>
      <w:tr w:rsidR="00EF74B0" w:rsidTr="00C52024">
        <w:trPr>
          <w:trHeight w:hRule="exact" w:val="567"/>
        </w:trPr>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c>
          <w:tcPr>
            <w:tcW w:w="567" w:type="dxa"/>
          </w:tcPr>
          <w:p w:rsidR="00EF74B0" w:rsidRDefault="00EF74B0" w:rsidP="00C52024"/>
        </w:tc>
      </w:tr>
    </w:tbl>
    <w:p w:rsidR="00EF74B0" w:rsidRDefault="00EF74B0"/>
    <w:p w:rsidR="00EF74B0" w:rsidRDefault="00EF74B0">
      <w:r>
        <w:t xml:space="preserve">2. Zeichne Quadrate </w:t>
      </w:r>
      <w:r w:rsidR="00B00081">
        <w:t>mit einem Geodreieck</w:t>
      </w:r>
      <w:r w:rsidR="00BC3736">
        <w:t xml:space="preserve">. </w:t>
      </w:r>
    </w:p>
    <w:tbl>
      <w:tblPr>
        <w:tblStyle w:val="Tabellenraster"/>
        <w:tblW w:w="0" w:type="auto"/>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r w:rsidR="00AA1161" w:rsidTr="00AA1161">
        <w:trPr>
          <w:trHeight w:hRule="exact" w:val="284"/>
          <w:jc w:val="center"/>
        </w:trPr>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c>
          <w:tcPr>
            <w:tcW w:w="283" w:type="dxa"/>
          </w:tcPr>
          <w:p w:rsidR="00AA1161" w:rsidRDefault="00AA1161"/>
        </w:tc>
      </w:tr>
    </w:tbl>
    <w:p w:rsidR="00D83B2B" w:rsidRDefault="00D83B2B">
      <w:r>
        <w:br w:type="page"/>
      </w:r>
    </w:p>
    <w:p w:rsidR="00D83B2B" w:rsidRPr="002E2E53" w:rsidRDefault="00D83B2B" w:rsidP="002E2E53">
      <w:pPr>
        <w:rPr>
          <w:rFonts w:asciiTheme="majorHAnsi" w:eastAsiaTheme="majorEastAsia" w:hAnsiTheme="majorHAnsi" w:cstheme="majorBidi"/>
          <w:b/>
          <w:bCs/>
          <w:color w:val="365F91" w:themeColor="accent1" w:themeShade="BF"/>
          <w:sz w:val="28"/>
          <w:szCs w:val="28"/>
        </w:rPr>
        <w:sectPr w:rsidR="00D83B2B" w:rsidRPr="002E2E53" w:rsidSect="00DF24E0">
          <w:headerReference w:type="default" r:id="rId9"/>
          <w:footerReference w:type="default" r:id="rId10"/>
          <w:headerReference w:type="first" r:id="rId11"/>
          <w:pgSz w:w="11906" w:h="16838"/>
          <w:pgMar w:top="1417" w:right="1417" w:bottom="1134" w:left="1417" w:header="708" w:footer="708" w:gutter="0"/>
          <w:cols w:space="708"/>
          <w:docGrid w:linePitch="360"/>
        </w:sectPr>
      </w:pPr>
    </w:p>
    <w:p w:rsidR="004C7D38" w:rsidRDefault="004C7D38" w:rsidP="004C7D38">
      <w:r>
        <w:lastRenderedPageBreak/>
        <w:t xml:space="preserve">3. Zeichne Quadrate mit einem Geodreieck. Miss die Seite des Quadrates. Wie groß ist die Fläche des Quadrates? Schreibe deine Rechnung auf. </w:t>
      </w:r>
    </w:p>
    <w:tbl>
      <w:tblPr>
        <w:tblStyle w:val="Tabellenraster"/>
        <w:tblW w:w="0" w:type="auto"/>
        <w:jc w:val="center"/>
        <w:tblLayout w:type="fixed"/>
        <w:tblLook w:val="04A0" w:firstRow="1" w:lastRow="0" w:firstColumn="1" w:lastColumn="0" w:noHBand="0" w:noVBand="1"/>
      </w:tblPr>
      <w:tblGrid>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r w:rsidR="004C7D38" w:rsidTr="00195B06">
        <w:trPr>
          <w:trHeight w:hRule="exact" w:val="284"/>
          <w:jc w:val="center"/>
        </w:trPr>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c>
          <w:tcPr>
            <w:tcW w:w="283" w:type="dxa"/>
          </w:tcPr>
          <w:p w:rsidR="004C7D38" w:rsidRDefault="004C7D38" w:rsidP="00195B06"/>
        </w:tc>
      </w:tr>
    </w:tbl>
    <w:p w:rsidR="004C7D38" w:rsidRDefault="004C7D38" w:rsidP="004C7D38">
      <w:r>
        <w:br w:type="page"/>
      </w:r>
    </w:p>
    <w:p w:rsidR="004C7D38" w:rsidRDefault="004C7D38" w:rsidP="004C7D38"/>
    <w:p w:rsidR="00570FB4" w:rsidRPr="004C7D38" w:rsidRDefault="004C7D38" w:rsidP="00660A83">
      <w:pPr>
        <w:pStyle w:val="berschrift1"/>
        <w:rPr>
          <w:color w:val="auto"/>
        </w:rPr>
      </w:pPr>
      <w:r w:rsidRPr="004C7D38">
        <w:rPr>
          <w:color w:val="auto"/>
        </w:rPr>
        <w:t>Hilfekarte</w:t>
      </w:r>
    </w:p>
    <w:p w:rsidR="00EF74B0" w:rsidRDefault="00EF74B0" w:rsidP="00570FB4"/>
    <w:p w:rsidR="00EF74B0" w:rsidRDefault="00EF74B0" w:rsidP="004C7D38">
      <w:pPr>
        <w:pBdr>
          <w:top w:val="single" w:sz="4" w:space="1" w:color="auto"/>
          <w:left w:val="single" w:sz="4" w:space="4" w:color="auto"/>
          <w:bottom w:val="single" w:sz="4" w:space="1" w:color="auto"/>
          <w:right w:val="single" w:sz="4" w:space="4" w:color="auto"/>
        </w:pBdr>
      </w:pPr>
      <w:r w:rsidRPr="004C7D38">
        <w:rPr>
          <w:sz w:val="28"/>
          <w:szCs w:val="28"/>
        </w:rPr>
        <w:t>Denke daran, wie du Aufgabe 1 gelöst hast.</w:t>
      </w:r>
      <w:r>
        <w:t xml:space="preserve"> </w:t>
      </w:r>
      <w:r w:rsidR="004C7D38">
        <w:t xml:space="preserve">           </w:t>
      </w:r>
      <w:r w:rsidR="004C7D38">
        <w:rPr>
          <w:noProof/>
          <w:lang w:eastAsia="de-DE"/>
        </w:rPr>
        <w:drawing>
          <wp:inline distT="0" distB="0" distL="0" distR="0" wp14:anchorId="6EDDF400" wp14:editId="525E6ED3">
            <wp:extent cx="1666875" cy="15525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666875" cy="1552575"/>
                    </a:xfrm>
                    <a:prstGeom prst="rect">
                      <a:avLst/>
                    </a:prstGeom>
                  </pic:spPr>
                </pic:pic>
              </a:graphicData>
            </a:graphic>
          </wp:inline>
        </w:drawing>
      </w:r>
    </w:p>
    <w:p w:rsidR="002E2E53" w:rsidRPr="00900750" w:rsidRDefault="00570FB4" w:rsidP="004C7D38">
      <w:pPr>
        <w:pBdr>
          <w:top w:val="single" w:sz="4" w:space="1" w:color="auto"/>
          <w:left w:val="single" w:sz="4" w:space="4" w:color="auto"/>
          <w:bottom w:val="single" w:sz="4" w:space="1" w:color="auto"/>
          <w:right w:val="single" w:sz="4" w:space="4" w:color="auto"/>
        </w:pBdr>
        <w:rPr>
          <w:rFonts w:asciiTheme="majorHAnsi" w:eastAsiaTheme="majorEastAsia" w:hAnsiTheme="majorHAnsi" w:cstheme="majorBidi"/>
          <w:color w:val="365F91" w:themeColor="accent1" w:themeShade="BF"/>
          <w:sz w:val="28"/>
          <w:szCs w:val="28"/>
        </w:rPr>
      </w:pPr>
      <w:r>
        <w:br w:type="page"/>
      </w:r>
    </w:p>
    <w:p w:rsidR="002E2E53" w:rsidRPr="002E2E53" w:rsidRDefault="002E2E53" w:rsidP="002E2E53">
      <w:pPr>
        <w:sectPr w:rsidR="002E2E53" w:rsidRPr="002E2E53" w:rsidSect="00BB2557">
          <w:headerReference w:type="default" r:id="rId13"/>
          <w:headerReference w:type="first" r:id="rId14"/>
          <w:pgSz w:w="11906" w:h="16838"/>
          <w:pgMar w:top="1417" w:right="1417" w:bottom="1134" w:left="1417" w:header="708" w:footer="708" w:gutter="0"/>
          <w:cols w:space="708"/>
          <w:docGrid w:linePitch="360"/>
        </w:sectPr>
      </w:pPr>
    </w:p>
    <w:p w:rsidR="00660A83" w:rsidRPr="00BB2557" w:rsidRDefault="00660A83" w:rsidP="00BB2557">
      <w:pPr>
        <w:rPr>
          <w:b/>
        </w:rPr>
      </w:pPr>
      <w:r w:rsidRPr="00BB2557">
        <w:rPr>
          <w:b/>
        </w:rPr>
        <w:lastRenderedPageBreak/>
        <w:t>Lehrerinformation</w:t>
      </w:r>
    </w:p>
    <w:p w:rsidR="00A14774" w:rsidRDefault="005E3445" w:rsidP="00A14774">
      <w:r w:rsidRPr="004C7D38">
        <w:rPr>
          <w:b/>
        </w:rPr>
        <w:t>Zielgruppe:</w:t>
      </w:r>
      <w:r w:rsidR="00A14774">
        <w:t xml:space="preserve"> Schülerinnen und Schüler in den zieldifferenten Bildungsgängen</w:t>
      </w:r>
    </w:p>
    <w:p w:rsidR="001D3B4D" w:rsidRDefault="00FA5309" w:rsidP="001D3B4D">
      <w:pPr>
        <w:spacing w:after="0"/>
        <w:rPr>
          <w:b/>
        </w:rPr>
      </w:pPr>
      <w:r>
        <w:rPr>
          <w:b/>
        </w:rPr>
        <w:t xml:space="preserve">Kompetenzerwartung und </w:t>
      </w:r>
      <w:r w:rsidR="001D3B4D" w:rsidRPr="001D3B4D">
        <w:rPr>
          <w:b/>
        </w:rPr>
        <w:t>Bezug zum Kernlehrplan</w:t>
      </w:r>
      <w:r>
        <w:rPr>
          <w:b/>
        </w:rPr>
        <w:t>:</w:t>
      </w:r>
    </w:p>
    <w:p w:rsidR="00FA5309" w:rsidRDefault="00672106" w:rsidP="004C7D38">
      <w:pPr>
        <w:spacing w:after="0"/>
      </w:pPr>
      <w:r>
        <w:t xml:space="preserve">Diese Aufgabe trägt zur Förderung der folgenden Kompetenzen bei, die laut Kernlehrplan für die </w:t>
      </w:r>
      <w:r w:rsidRPr="004C7D38">
        <w:rPr>
          <w:b/>
        </w:rPr>
        <w:t>Hauptschule</w:t>
      </w:r>
      <w:r>
        <w:t xml:space="preserve"> in NRW am Ende der jeweils angegebenen Jahrgangsstufe erreicht sein sollen, wobei die prozessbezogenen Kompetenzen generell ab Beginn der Jahrgangsstufe 5 gefördert werden.</w:t>
      </w:r>
      <w:r>
        <w:rPr>
          <w:rStyle w:val="Funotenzeichen"/>
          <w:b/>
        </w:rPr>
        <w:footnoteReference w:id="1"/>
      </w:r>
    </w:p>
    <w:p w:rsidR="00672106" w:rsidRDefault="00672106" w:rsidP="004C7D38">
      <w:pPr>
        <w:spacing w:after="0"/>
      </w:pPr>
    </w:p>
    <w:p w:rsidR="00FA5309" w:rsidRPr="004C7D38" w:rsidRDefault="00FA5309" w:rsidP="00FA5309">
      <w:pPr>
        <w:spacing w:after="0"/>
        <w:ind w:firstLine="708"/>
        <w:rPr>
          <w:b/>
        </w:rPr>
      </w:pPr>
      <w:r w:rsidRPr="004C7D38">
        <w:rPr>
          <w:b/>
        </w:rPr>
        <w:t>Prozessbezogene Kompetenzen:</w:t>
      </w:r>
    </w:p>
    <w:p w:rsidR="00FA5309" w:rsidRDefault="00FA5309" w:rsidP="00FA5309">
      <w:pPr>
        <w:ind w:left="708"/>
      </w:pPr>
      <w:r w:rsidRPr="005A6167">
        <w:rPr>
          <w:i/>
        </w:rPr>
        <w:t>Werkzeuge nutzen:</w:t>
      </w:r>
      <w:r>
        <w:t xml:space="preserve"> Die Schülerinnen und Schüler nutzen verschieden</w:t>
      </w:r>
      <w:r w:rsidR="00672106">
        <w:t>e (nicht-digitale) Werkzeuge für mathematisches</w:t>
      </w:r>
      <w:r>
        <w:t xml:space="preserve"> Arbeiten.</w:t>
      </w:r>
      <w:r>
        <w:rPr>
          <w:rStyle w:val="Funotenzeichen"/>
        </w:rPr>
        <w:footnoteReference w:id="2"/>
      </w:r>
    </w:p>
    <w:p w:rsidR="00FA5309" w:rsidRDefault="00FA5309" w:rsidP="00FA5309">
      <w:pPr>
        <w:spacing w:after="0"/>
        <w:ind w:firstLine="708"/>
        <w:rPr>
          <w:b/>
        </w:rPr>
      </w:pPr>
      <w:r w:rsidRPr="004C7D38">
        <w:rPr>
          <w:b/>
        </w:rPr>
        <w:t>Inhaltsbezogene Kompetenzen:</w:t>
      </w:r>
    </w:p>
    <w:p w:rsidR="00672106" w:rsidRPr="00672106" w:rsidRDefault="00672106" w:rsidP="00FA5309">
      <w:pPr>
        <w:spacing w:after="0"/>
        <w:ind w:firstLine="708"/>
      </w:pPr>
      <w:r w:rsidRPr="004C7D38">
        <w:t>Bis Ende Jahrgangsstufe 6:</w:t>
      </w:r>
    </w:p>
    <w:p w:rsidR="00FA5309" w:rsidRDefault="00FA5309" w:rsidP="00FA5309">
      <w:pPr>
        <w:ind w:left="708"/>
      </w:pPr>
      <w:r w:rsidRPr="002A0043">
        <w:rPr>
          <w:i/>
        </w:rPr>
        <w:t xml:space="preserve">Geometrie – ebene und räumliche Strukturen nach Maß und Form erfassen können: </w:t>
      </w:r>
      <w:r>
        <w:t>Die Schülerinnen und Schüler bestimmen Flächeninhalte von Rechtecken.</w:t>
      </w:r>
      <w:r>
        <w:rPr>
          <w:rStyle w:val="Funotenzeichen"/>
        </w:rPr>
        <w:footnoteReference w:id="3"/>
      </w:r>
      <w:r>
        <w:t xml:space="preserve"> </w:t>
      </w:r>
    </w:p>
    <w:p w:rsidR="00672106" w:rsidRPr="00390671" w:rsidRDefault="00672106" w:rsidP="00672106">
      <w:pPr>
        <w:rPr>
          <w:b/>
        </w:rPr>
      </w:pPr>
      <w:r w:rsidRPr="00FB12CC">
        <w:rPr>
          <w:b/>
        </w:rPr>
        <w:t>Zur Information:</w:t>
      </w:r>
      <w:r>
        <w:rPr>
          <w:b/>
        </w:rPr>
        <w:t xml:space="preserve"> </w:t>
      </w:r>
      <w:r>
        <w:t xml:space="preserve">Einordnung in den Kernlehrplan für das </w:t>
      </w:r>
      <w:r w:rsidRPr="00FB12CC">
        <w:rPr>
          <w:b/>
        </w:rPr>
        <w:t>Gymnasium</w:t>
      </w:r>
      <w:r>
        <w:t xml:space="preserve"> in NRW</w:t>
      </w:r>
    </w:p>
    <w:p w:rsidR="006B7F6B" w:rsidRDefault="006B7F6B" w:rsidP="006B7F6B">
      <w:pPr>
        <w:spacing w:after="0"/>
        <w:ind w:firstLine="708"/>
      </w:pPr>
      <w:r>
        <w:t xml:space="preserve">Kompetenzerwartungen am Ende der Jahrgangsstufe 6: </w:t>
      </w:r>
    </w:p>
    <w:p w:rsidR="00672106" w:rsidRPr="00535B6D" w:rsidRDefault="00672106" w:rsidP="00672106">
      <w:pPr>
        <w:spacing w:after="0"/>
        <w:ind w:firstLine="708"/>
        <w:rPr>
          <w:b/>
        </w:rPr>
      </w:pPr>
      <w:r w:rsidRPr="00535B6D">
        <w:rPr>
          <w:b/>
        </w:rPr>
        <w:t>Inhaltsbezogene Kompetenzen:</w:t>
      </w:r>
    </w:p>
    <w:p w:rsidR="006B7F6B" w:rsidRDefault="006B7F6B" w:rsidP="006B7F6B">
      <w:pPr>
        <w:spacing w:after="0"/>
        <w:ind w:left="708"/>
      </w:pPr>
      <w:r w:rsidRPr="00DB0982">
        <w:rPr>
          <w:i/>
        </w:rPr>
        <w:t>Arithmetik/Algebra – mit Zahlen und Symbolen umgehen</w:t>
      </w:r>
      <w:r>
        <w:t xml:space="preserve">: Die Schülerinnen und Schüler führen Grundrechenarten (Kopfrechnen und schriftliche Rechenverfahren) mit natürlichen Zahlen </w:t>
      </w:r>
      <w:r>
        <w:rPr>
          <w:rFonts w:cstheme="minorHAnsi"/>
        </w:rPr>
        <w:t>[</w:t>
      </w:r>
      <w:r>
        <w:t>…</w:t>
      </w:r>
      <w:r>
        <w:rPr>
          <w:rFonts w:cstheme="minorHAnsi"/>
        </w:rPr>
        <w:t>]</w:t>
      </w:r>
      <w:r>
        <w:t xml:space="preserve"> aus.</w:t>
      </w:r>
      <w:r>
        <w:rPr>
          <w:rStyle w:val="Funotenzeichen"/>
        </w:rPr>
        <w:footnoteReference w:id="4"/>
      </w:r>
    </w:p>
    <w:p w:rsidR="006B7F6B" w:rsidRDefault="006B7F6B" w:rsidP="006B7F6B">
      <w:pPr>
        <w:spacing w:after="0"/>
        <w:ind w:left="708"/>
      </w:pPr>
    </w:p>
    <w:p w:rsidR="006B7F6B" w:rsidRPr="004C7D38" w:rsidRDefault="006B7F6B" w:rsidP="006B7F6B">
      <w:pPr>
        <w:spacing w:after="0"/>
        <w:ind w:left="708"/>
        <w:rPr>
          <w:b/>
        </w:rPr>
      </w:pPr>
      <w:r w:rsidRPr="004C7D38">
        <w:rPr>
          <w:b/>
        </w:rPr>
        <w:t>Prozessbezogene Kompetenzen:</w:t>
      </w:r>
    </w:p>
    <w:p w:rsidR="00FA5309" w:rsidRDefault="006B7F6B" w:rsidP="004C7D38">
      <w:pPr>
        <w:spacing w:after="0"/>
        <w:ind w:left="708"/>
      </w:pPr>
      <w:r w:rsidRPr="004C7D38">
        <w:rPr>
          <w:i/>
        </w:rPr>
        <w:t>Werkzeuge – Medien und Werkzeuge verwenden</w:t>
      </w:r>
      <w:r>
        <w:t xml:space="preserve">: Die Schülerinnen und Schüler nutzen Lineal und Geodreieck </w:t>
      </w:r>
      <w:r>
        <w:rPr>
          <w:rFonts w:cstheme="minorHAnsi"/>
        </w:rPr>
        <w:t>[</w:t>
      </w:r>
      <w:r>
        <w:t>…</w:t>
      </w:r>
      <w:r>
        <w:rPr>
          <w:rFonts w:cstheme="minorHAnsi"/>
        </w:rPr>
        <w:t>]</w:t>
      </w:r>
      <w:r>
        <w:t xml:space="preserve"> zum Messen und genauen Zeichnen.</w:t>
      </w:r>
      <w:r>
        <w:rPr>
          <w:rStyle w:val="Funotenzeichen"/>
        </w:rPr>
        <w:footnoteReference w:id="5"/>
      </w:r>
    </w:p>
    <w:p w:rsidR="006B7F6B" w:rsidRPr="004C7D38" w:rsidRDefault="006B7F6B" w:rsidP="004C7D38">
      <w:pPr>
        <w:spacing w:after="0"/>
        <w:ind w:left="708"/>
      </w:pPr>
    </w:p>
    <w:p w:rsidR="00BB2557" w:rsidRDefault="00BB2557" w:rsidP="00A14774">
      <w:pPr>
        <w:spacing w:after="0"/>
        <w:rPr>
          <w:b/>
        </w:rPr>
      </w:pPr>
    </w:p>
    <w:p w:rsidR="00BB2557" w:rsidRDefault="00BB2557" w:rsidP="00A14774">
      <w:pPr>
        <w:spacing w:after="0"/>
        <w:rPr>
          <w:b/>
        </w:rPr>
      </w:pPr>
    </w:p>
    <w:p w:rsidR="001D3B4D" w:rsidRPr="004C7D38" w:rsidRDefault="005E3445" w:rsidP="00A14774">
      <w:pPr>
        <w:spacing w:after="0"/>
        <w:rPr>
          <w:b/>
        </w:rPr>
      </w:pPr>
      <w:r w:rsidRPr="004C7D38">
        <w:rPr>
          <w:b/>
        </w:rPr>
        <w:lastRenderedPageBreak/>
        <w:t>Didaktischer Kommentar:</w:t>
      </w:r>
    </w:p>
    <w:p w:rsidR="00672106" w:rsidRDefault="00672106" w:rsidP="00672106">
      <w:r>
        <w:t>Die Schülerinnen und Schüler bestimmen den Flächeninhalt von Quadraten, indem sie durch das Zeichnen eines Rasters die Fläche in Quadratzentimeter einteilen, die sie dann abzählen.</w:t>
      </w:r>
    </w:p>
    <w:p w:rsidR="00672106" w:rsidRDefault="00672106" w:rsidP="004C7D38">
      <w:pPr>
        <w:spacing w:after="0"/>
      </w:pPr>
      <w:r>
        <w:t xml:space="preserve">Es werden </w:t>
      </w:r>
      <w:r w:rsidRPr="00BB2557">
        <w:rPr>
          <w:b/>
        </w:rPr>
        <w:t>Grundvorstellungen</w:t>
      </w:r>
      <w:r>
        <w:t xml:space="preserve"> in den folgenden Bereichen gebildet:</w:t>
      </w:r>
    </w:p>
    <w:p w:rsidR="00672106" w:rsidRDefault="00672106" w:rsidP="004C7D38">
      <w:pPr>
        <w:spacing w:after="0"/>
      </w:pPr>
      <w:r>
        <w:t xml:space="preserve">Geometrie: Flächeninhalt, Ausdehnungs-Vorstellung, </w:t>
      </w:r>
    </w:p>
    <w:p w:rsidR="00672106" w:rsidRDefault="00672106" w:rsidP="004C7D38">
      <w:pPr>
        <w:spacing w:after="0"/>
      </w:pPr>
      <w:r>
        <w:t>Arithmetik: Division natürlicher Zahlen, Aufteil-Vorstellung.</w:t>
      </w:r>
    </w:p>
    <w:p w:rsidR="00672106" w:rsidRDefault="00672106" w:rsidP="004C7D38">
      <w:pPr>
        <w:spacing w:after="0"/>
      </w:pPr>
      <w:r>
        <w:t xml:space="preserve">  </w:t>
      </w:r>
    </w:p>
    <w:p w:rsidR="00192F46" w:rsidRDefault="006B7F6B" w:rsidP="00A14774">
      <w:r>
        <w:t>I</w:t>
      </w:r>
      <w:r w:rsidR="00BB2557">
        <w:t>n der Aufgabe B1</w:t>
      </w:r>
      <w:r w:rsidR="00545DED">
        <w:t xml:space="preserve"> </w:t>
      </w:r>
      <w:r>
        <w:t xml:space="preserve">werden </w:t>
      </w:r>
      <w:r w:rsidR="00545DED">
        <w:t>Flächen gemessen</w:t>
      </w:r>
      <w:r w:rsidR="00486EB9">
        <w:t>,</w:t>
      </w:r>
      <w:r w:rsidR="00545DED">
        <w:t xml:space="preserve"> indem die Flächen ausgelegt </w:t>
      </w:r>
      <w:r w:rsidR="00042422">
        <w:t>wurden</w:t>
      </w:r>
      <w:r w:rsidR="00545DED">
        <w:t xml:space="preserve">. </w:t>
      </w:r>
      <w:r w:rsidR="00042422">
        <w:t>Hier</w:t>
      </w:r>
      <w:r w:rsidR="00486EB9">
        <w:t xml:space="preserve"> werden </w:t>
      </w:r>
      <w:r w:rsidR="00042422">
        <w:t>die Schülerinnen und Schüler</w:t>
      </w:r>
      <w:r w:rsidR="00486EB9">
        <w:t xml:space="preserve"> an eine teilweise vorgestellte Handlung </w:t>
      </w:r>
      <w:r w:rsidR="000250B4">
        <w:t>und an eine</w:t>
      </w:r>
      <w:r w:rsidR="00773B3D">
        <w:t>n</w:t>
      </w:r>
      <w:r w:rsidR="000250B4">
        <w:t xml:space="preserve"> Wechsel der Darstellungsebene </w:t>
      </w:r>
      <w:r w:rsidR="00486EB9">
        <w:t xml:space="preserve">herangeführt. Durch das Zeichnen eines </w:t>
      </w:r>
      <w:r w:rsidR="00B00081">
        <w:t xml:space="preserve">Rasters </w:t>
      </w:r>
      <w:r w:rsidR="00BB2557">
        <w:t>entstehen</w:t>
      </w:r>
      <w:r w:rsidR="00E35B06">
        <w:t xml:space="preserve"> Kacheln</w:t>
      </w:r>
      <w:r w:rsidR="00773B3D">
        <w:t>, die sie</w:t>
      </w:r>
      <w:r w:rsidR="00042422">
        <w:t xml:space="preserve"> </w:t>
      </w:r>
      <w:r w:rsidR="00BB2557">
        <w:t>schon aus der Aufgabe B1</w:t>
      </w:r>
      <w:r w:rsidR="00773B3D">
        <w:t xml:space="preserve"> kennen.</w:t>
      </w:r>
      <w:r w:rsidR="00E35B06">
        <w:t xml:space="preserve"> </w:t>
      </w:r>
      <w:r w:rsidR="00BB2557">
        <w:br/>
      </w:r>
      <w:r w:rsidR="00620542">
        <w:t>In</w:t>
      </w:r>
      <w:r w:rsidR="00BB2557">
        <w:t xml:space="preserve"> diesem Aufgabenset ist das Raster in der</w:t>
      </w:r>
      <w:r w:rsidR="00B00081">
        <w:t xml:space="preserve"> Aufgabe 1 </w:t>
      </w:r>
      <w:r w:rsidR="00620542">
        <w:t xml:space="preserve">ist so angelegt, dass kleine Quadrate der Größe </w:t>
      </w:r>
      <w:r w:rsidR="00BB2557">
        <w:t>von einem</w:t>
      </w:r>
      <w:r w:rsidR="00280F40">
        <w:t xml:space="preserve"> Quadratzentimeter entstehen</w:t>
      </w:r>
      <w:r w:rsidR="00B00081">
        <w:t>,</w:t>
      </w:r>
      <w:r w:rsidR="00E35B06">
        <w:t xml:space="preserve"> ohne dass dieses Maß hier bereits ausdrück</w:t>
      </w:r>
      <w:r w:rsidR="000250B4">
        <w:t>lich erwähnt</w:t>
      </w:r>
      <w:r w:rsidR="00E35B06">
        <w:t xml:space="preserve"> wird.</w:t>
      </w:r>
      <w:r w:rsidR="00B00081">
        <w:t xml:space="preserve"> </w:t>
      </w:r>
      <w:r w:rsidR="000250B4">
        <w:t>Die Aufgabe ermöglicht</w:t>
      </w:r>
      <w:r w:rsidR="009C3FAD">
        <w:t xml:space="preserve"> es den</w:t>
      </w:r>
      <w:r w:rsidR="000250B4">
        <w:t xml:space="preserve"> Schülerinnen und Schüler</w:t>
      </w:r>
      <w:r w:rsidR="009C3FAD">
        <w:t>n,</w:t>
      </w:r>
      <w:r w:rsidR="000250B4">
        <w:t xml:space="preserve"> die Größe einer Fläche </w:t>
      </w:r>
      <w:r w:rsidR="009C3FAD">
        <w:t xml:space="preserve">zu </w:t>
      </w:r>
      <w:r w:rsidR="000250B4">
        <w:t xml:space="preserve">ermitteln, indem sie </w:t>
      </w:r>
      <w:r w:rsidR="009C3FAD">
        <w:t>deren Teilflächen</w:t>
      </w:r>
      <w:r w:rsidR="000250B4">
        <w:t xml:space="preserve"> zählen. Bereits jetzt s</w:t>
      </w:r>
      <w:r w:rsidR="00BB2557">
        <w:t>ollten sie jedoch von der Lehr</w:t>
      </w:r>
      <w:r w:rsidR="000250B4">
        <w:t xml:space="preserve">kraft darauf aufmerksam gemacht werden, dass eine weitere Lösungsstrategie darin besteht, die passende Malaufgabe zu sehen, </w:t>
      </w:r>
      <w:r w:rsidR="00B00081">
        <w:t xml:space="preserve">zu </w:t>
      </w:r>
      <w:r w:rsidR="000250B4">
        <w:t xml:space="preserve">benennen und </w:t>
      </w:r>
      <w:r w:rsidR="00B00081">
        <w:t xml:space="preserve">zu </w:t>
      </w:r>
      <w:r w:rsidR="000250B4">
        <w:t>berechnen.</w:t>
      </w:r>
      <w:r w:rsidR="00B34ECD">
        <w:br/>
        <w:t xml:space="preserve">In der Aufgabe 2 kommt diese Strategie erneut zur Anwendung. </w:t>
      </w:r>
      <w:r w:rsidR="00B34ECD">
        <w:br/>
      </w:r>
      <w:r w:rsidR="00192F46">
        <w:t>Das Zeichnen auf karierte</w:t>
      </w:r>
      <w:r w:rsidR="009C3FAD">
        <w:t>m</w:t>
      </w:r>
      <w:r w:rsidR="00192F46">
        <w:t xml:space="preserve"> Papier </w:t>
      </w:r>
      <w:r w:rsidR="00BB2557">
        <w:t xml:space="preserve">erleichtert </w:t>
      </w:r>
      <w:r w:rsidR="009C3FAD">
        <w:t xml:space="preserve">den Schülerinnen und Schülern </w:t>
      </w:r>
      <w:r w:rsidR="00BB2557">
        <w:t xml:space="preserve">das Zeichnen </w:t>
      </w:r>
      <w:r w:rsidR="00192F46">
        <w:t xml:space="preserve">und dient als Vorbereitung </w:t>
      </w:r>
      <w:r w:rsidR="009C3FAD">
        <w:t>auf</w:t>
      </w:r>
      <w:r w:rsidR="00192F46">
        <w:t xml:space="preserve"> das Zeichnen von Quadraten auf einer </w:t>
      </w:r>
      <w:r w:rsidR="00BB2557">
        <w:t>Blanko-</w:t>
      </w:r>
      <w:r w:rsidR="00192F46">
        <w:t>Unterlage</w:t>
      </w:r>
      <w:r w:rsidR="00BB2557">
        <w:t>.</w:t>
      </w:r>
      <w:r w:rsidR="00E3123F">
        <w:t xml:space="preserve"> Es ist </w:t>
      </w:r>
      <w:r w:rsidR="00775943">
        <w:t>wichtig</w:t>
      </w:r>
      <w:r w:rsidR="00E3123F">
        <w:t xml:space="preserve">, dass die Lehrkraft </w:t>
      </w:r>
      <w:r w:rsidR="00775943">
        <w:t xml:space="preserve">genau </w:t>
      </w:r>
      <w:r w:rsidR="00E3123F">
        <w:t>beobachtet,</w:t>
      </w:r>
      <w:r w:rsidR="00D94F0D">
        <w:t xml:space="preserve"> ob der Schüler/ die Schülerin mit</w:t>
      </w:r>
      <w:r w:rsidR="00E3123F">
        <w:t xml:space="preserve"> der Handhabung des Lineals</w:t>
      </w:r>
      <w:r w:rsidR="00B00081">
        <w:t xml:space="preserve"> oder Geodreiecks </w:t>
      </w:r>
      <w:r w:rsidR="00E3123F">
        <w:t>vertraut ist</w:t>
      </w:r>
      <w:r w:rsidR="00775943">
        <w:t>, damit es bei schwierigeren Aufgaben nicht zu Problemen kommt.</w:t>
      </w:r>
      <w:r w:rsidR="00B34ECD">
        <w:br/>
      </w:r>
      <w:r w:rsidR="00B34ECD">
        <w:br/>
        <w:t xml:space="preserve">Die </w:t>
      </w:r>
      <w:r w:rsidR="00B34ECD" w:rsidRPr="00B34ECD">
        <w:rPr>
          <w:b/>
        </w:rPr>
        <w:t>Aufgabe 3</w:t>
      </w:r>
      <w:r w:rsidR="00B34ECD">
        <w:t xml:space="preserve"> kann zur weiteren Differenzierung eingesetzt werden. Hier erfolgt ein weiterer Darstellungswechsel. Die Schülerinnen und Schüler nutzen jetzt die Maßeinheit cm und messen entsprechend die Seitenlängen. Ihre Maße können sie zur Berechnung des Flächeninhalts nutzen wenn sie den Übertrag von der Anschauungs- auf die ab</w:t>
      </w:r>
      <w:r w:rsidR="00BE3726">
        <w:t>s</w:t>
      </w:r>
      <w:r w:rsidR="00B34ECD">
        <w:t>trakte Ebene vollziehen können.</w:t>
      </w:r>
    </w:p>
    <w:p w:rsidR="00A14774" w:rsidRDefault="00BE3726" w:rsidP="00BE3726">
      <w:r>
        <w:t xml:space="preserve">Wichtige diagnostische Hinweise im Hinblick auf die Ausprägung der Kompetenz zur Flächeninhaltsberechnung können durch die Auswertung der Arbeitsergebnisse aller Aufgaben gewonnen werden. Diese Hinweise sind bedeutsam zur Fortschreibung der </w:t>
      </w:r>
      <w:r w:rsidRPr="001F3A76">
        <w:rPr>
          <w:u w:val="single"/>
        </w:rPr>
        <w:t>Lern- und Entwicklungsplanung</w:t>
      </w:r>
      <w:r>
        <w:rPr>
          <w:rStyle w:val="Funotenzeichen"/>
          <w:u w:val="single"/>
        </w:rPr>
        <w:footnoteReference w:id="6"/>
      </w:r>
      <w:r>
        <w:br/>
      </w:r>
    </w:p>
    <w:p w:rsidR="00BE3726" w:rsidRDefault="00BE3726" w:rsidP="00BE3726"/>
    <w:p w:rsidR="00BB2557" w:rsidRPr="000A1F8D" w:rsidRDefault="00BB2557" w:rsidP="00BB2557">
      <w:pPr>
        <w:spacing w:after="0"/>
        <w:rPr>
          <w:b/>
        </w:rPr>
      </w:pPr>
      <w:r>
        <w:rPr>
          <w:b/>
        </w:rPr>
        <w:lastRenderedPageBreak/>
        <w:t>Impulse zur Binnend</w:t>
      </w:r>
      <w:r w:rsidRPr="000A1F8D">
        <w:rPr>
          <w:b/>
        </w:rPr>
        <w:t>ifferenzierung</w:t>
      </w:r>
      <w:r>
        <w:rPr>
          <w:b/>
        </w:rPr>
        <w:t>/zum zieldifferenten Lernen</w:t>
      </w:r>
      <w:r w:rsidRPr="000A1F8D">
        <w:rPr>
          <w:b/>
        </w:rPr>
        <w:t>:</w:t>
      </w:r>
    </w:p>
    <w:p w:rsidR="008A6E74" w:rsidRDefault="003D3916" w:rsidP="00B34ECD">
      <w:r w:rsidRPr="003D3916">
        <w:t>Bei Problemen mit der Lösung von Aufgabe 2</w:t>
      </w:r>
      <w:r>
        <w:t xml:space="preserve"> können die Schülerinnen und Schüler eine </w:t>
      </w:r>
      <w:r w:rsidR="00B34ECD">
        <w:t>Hilfe</w:t>
      </w:r>
      <w:r>
        <w:t xml:space="preserve">karte nutzen, die sie an das Vorgehen bei Aufgabe 1 erinnert. Mit diesem Hinweis können sie die Strategie, Einteilung in Teilflächen und </w:t>
      </w:r>
      <w:r w:rsidR="00B61461">
        <w:t xml:space="preserve">Abzählen, </w:t>
      </w:r>
      <w:r>
        <w:t>auch auf die selbstgezeichneten</w:t>
      </w:r>
      <w:r w:rsidR="00B61461">
        <w:t xml:space="preserve"> Quadrate übertragen und so deren Flächeninhalt bestimmen.</w:t>
      </w:r>
    </w:p>
    <w:p w:rsidR="008A6E74" w:rsidRDefault="005E3445" w:rsidP="00B34ECD">
      <w:pPr>
        <w:spacing w:after="0"/>
      </w:pPr>
      <w:r w:rsidRPr="004C7D38">
        <w:rPr>
          <w:b/>
        </w:rPr>
        <w:t>Material:</w:t>
      </w:r>
    </w:p>
    <w:p w:rsidR="008A6E74" w:rsidRDefault="00773B3D" w:rsidP="00B34ECD">
      <w:r>
        <w:t>Geodreieck</w:t>
      </w:r>
      <w:r w:rsidR="00BB2557">
        <w:t>, Hilfekarte</w:t>
      </w:r>
    </w:p>
    <w:p w:rsidR="005E2EFB" w:rsidRDefault="005E2EFB"/>
    <w:sectPr w:rsidR="005E2EFB" w:rsidSect="00BB2557">
      <w:headerReference w:type="default"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160" w:rsidRDefault="00CF3160" w:rsidP="005E2EFB">
      <w:pPr>
        <w:spacing w:after="0" w:line="240" w:lineRule="auto"/>
      </w:pPr>
      <w:r>
        <w:separator/>
      </w:r>
    </w:p>
  </w:endnote>
  <w:endnote w:type="continuationSeparator" w:id="0">
    <w:p w:rsidR="00CF3160" w:rsidRDefault="00CF3160"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25639301"/>
        <w:docPartObj>
          <w:docPartGallery w:val="Page Numbers (Bottom of Page)"/>
          <w:docPartUnique/>
        </w:docPartObj>
      </w:sdtPr>
      <w:sdtEndPr>
        <w:rPr>
          <w:rFonts w:asciiTheme="minorHAnsi" w:eastAsiaTheme="minorHAnsi" w:hAnsiTheme="minorHAnsi" w:cstheme="minorBidi"/>
          <w:sz w:val="24"/>
          <w:szCs w:val="22"/>
        </w:rPr>
      </w:sdtEndPr>
      <w:sdtContent>
        <w:tr w:rsidR="00BB2557">
          <w:trPr>
            <w:trHeight w:val="727"/>
          </w:trPr>
          <w:tc>
            <w:tcPr>
              <w:tcW w:w="4000" w:type="pct"/>
              <w:tcBorders>
                <w:right w:val="triple" w:sz="4" w:space="0" w:color="4F81BD" w:themeColor="accent1"/>
              </w:tcBorders>
            </w:tcPr>
            <w:p w:rsidR="00BB2557" w:rsidRDefault="00BB255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B2557" w:rsidRDefault="00BB255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F24E0">
                <w:rPr>
                  <w:noProof/>
                </w:rPr>
                <w:t>2</w:t>
              </w:r>
              <w:r>
                <w:fldChar w:fldCharType="end"/>
              </w:r>
            </w:p>
          </w:tc>
        </w:tr>
      </w:sdtContent>
    </w:sdt>
  </w:tbl>
  <w:p w:rsidR="005E2EFB" w:rsidRPr="00BB2557" w:rsidRDefault="005E2EFB" w:rsidP="00BB25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44561639"/>
        <w:docPartObj>
          <w:docPartGallery w:val="Page Numbers (Bottom of Page)"/>
          <w:docPartUnique/>
        </w:docPartObj>
      </w:sdtPr>
      <w:sdtEndPr>
        <w:rPr>
          <w:rFonts w:asciiTheme="minorHAnsi" w:eastAsiaTheme="minorHAnsi" w:hAnsiTheme="minorHAnsi" w:cstheme="minorBidi"/>
          <w:sz w:val="24"/>
          <w:szCs w:val="22"/>
        </w:rPr>
      </w:sdtEndPr>
      <w:sdtContent>
        <w:tr w:rsidR="00BB2557">
          <w:trPr>
            <w:trHeight w:val="727"/>
          </w:trPr>
          <w:tc>
            <w:tcPr>
              <w:tcW w:w="4000" w:type="pct"/>
              <w:tcBorders>
                <w:right w:val="triple" w:sz="4" w:space="0" w:color="4F81BD" w:themeColor="accent1"/>
              </w:tcBorders>
            </w:tcPr>
            <w:p w:rsidR="00BB2557" w:rsidRDefault="00BB2557">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BB2557" w:rsidRDefault="00BB2557">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F24E0">
                <w:rPr>
                  <w:noProof/>
                </w:rPr>
                <w:t>6</w:t>
              </w:r>
              <w:r>
                <w:fldChar w:fldCharType="end"/>
              </w:r>
            </w:p>
          </w:tc>
        </w:tr>
      </w:sdtContent>
    </w:sdt>
  </w:tbl>
  <w:p w:rsidR="002D69D1" w:rsidRPr="00C73BFF" w:rsidRDefault="002D69D1" w:rsidP="00C73BF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9D1" w:rsidRDefault="002D69D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160" w:rsidRDefault="00CF3160" w:rsidP="005E2EFB">
      <w:pPr>
        <w:spacing w:after="0" w:line="240" w:lineRule="auto"/>
      </w:pPr>
      <w:r>
        <w:separator/>
      </w:r>
    </w:p>
  </w:footnote>
  <w:footnote w:type="continuationSeparator" w:id="0">
    <w:p w:rsidR="00CF3160" w:rsidRDefault="00CF3160" w:rsidP="005E2EFB">
      <w:pPr>
        <w:spacing w:after="0" w:line="240" w:lineRule="auto"/>
      </w:pPr>
      <w:r>
        <w:continuationSeparator/>
      </w:r>
    </w:p>
  </w:footnote>
  <w:footnote w:id="1">
    <w:p w:rsidR="00672106" w:rsidRDefault="00672106" w:rsidP="00672106">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672106" w:rsidRDefault="00672106" w:rsidP="00672106">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FA5309" w:rsidRDefault="00FA5309" w:rsidP="00FA5309">
      <w:pPr>
        <w:pStyle w:val="Funotentext"/>
      </w:pPr>
      <w:r>
        <w:rPr>
          <w:rStyle w:val="Funotenzeichen"/>
        </w:rPr>
        <w:footnoteRef/>
      </w:r>
      <w:r>
        <w:t xml:space="preserve"> Vgl. Kernlehrplan und Richtlinien für die Hauptschule in NRW. Mathematik, MSW, 2011, S. 20.</w:t>
      </w:r>
    </w:p>
  </w:footnote>
  <w:footnote w:id="3">
    <w:p w:rsidR="00FA5309" w:rsidRDefault="00FA5309" w:rsidP="00FA5309">
      <w:pPr>
        <w:pStyle w:val="Funotentext"/>
      </w:pPr>
      <w:r>
        <w:rPr>
          <w:rStyle w:val="Funotenzeichen"/>
        </w:rPr>
        <w:footnoteRef/>
      </w:r>
      <w:r>
        <w:t xml:space="preserve"> Vgl. ebd. S. 24.</w:t>
      </w:r>
    </w:p>
  </w:footnote>
  <w:footnote w:id="4">
    <w:p w:rsidR="006B7F6B" w:rsidRDefault="006B7F6B" w:rsidP="006B7F6B">
      <w:pPr>
        <w:pStyle w:val="Funotentext"/>
      </w:pPr>
      <w:r>
        <w:rPr>
          <w:rStyle w:val="Funotenzeichen"/>
        </w:rPr>
        <w:footnoteRef/>
      </w:r>
      <w:r>
        <w:t xml:space="preserve"> Vgl. </w:t>
      </w:r>
      <w:r w:rsidRPr="00C15B67">
        <w:t>Kernlehrplan für das Gymnasi</w:t>
      </w:r>
      <w:r>
        <w:t xml:space="preserve">um – Sekundarstufe I (G8) </w:t>
      </w:r>
      <w:r w:rsidRPr="00C15B67">
        <w:t xml:space="preserve">. Mathematik, </w:t>
      </w:r>
      <w:r>
        <w:t>MSW, 2007, S. 21</w:t>
      </w:r>
      <w:r w:rsidRPr="00C15B67">
        <w:t>.</w:t>
      </w:r>
    </w:p>
  </w:footnote>
  <w:footnote w:id="5">
    <w:p w:rsidR="006B7F6B" w:rsidRDefault="006B7F6B">
      <w:pPr>
        <w:pStyle w:val="Funotentext"/>
      </w:pPr>
      <w:r>
        <w:rPr>
          <w:rStyle w:val="Funotenzeichen"/>
        </w:rPr>
        <w:footnoteRef/>
      </w:r>
      <w:r>
        <w:t xml:space="preserve"> Vgl. ebd. S. 20.</w:t>
      </w:r>
    </w:p>
  </w:footnote>
  <w:footnote w:id="6">
    <w:p w:rsidR="00BE3726" w:rsidRDefault="00BE3726" w:rsidP="00BE3726">
      <w:pPr>
        <w:pStyle w:val="Funotentext"/>
      </w:pPr>
      <w:r>
        <w:rPr>
          <w:rStyle w:val="Funotenzeichen"/>
        </w:rPr>
        <w:footnoteRef/>
      </w:r>
      <w:r>
        <w:t xml:space="preserve"> bitte das Wort direkt verlinken mit: </w:t>
      </w:r>
      <w:hyperlink r:id="rId1" w:history="1">
        <w:r w:rsidRPr="00705A5E">
          <w:rPr>
            <w:rStyle w:val="Hyperlink"/>
          </w:rPr>
          <w:t>https://www.schulentwicklung.nrw.de/q/inklusive-schulische-bildung/lern-und-entwicklungsplanung/lernen-planen/lernausgangslage-erheben-und-dokumentieren/lernausgangslage-erheben-und-dokumentieren.html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DF24E0">
    <w:pPr>
      <w:pStyle w:val="Kopfzeile"/>
    </w:pPr>
    <w:r>
      <w:t>B2.2</w:t>
    </w:r>
    <w:r w:rsidR="005E2EFB">
      <w:tab/>
    </w:r>
    <w:fldSimple w:instr=" STYLEREF  Titel  \* MERGEFORMAT ">
      <w:r>
        <w:rPr>
          <w:noProof/>
        </w:rPr>
        <w:t>B2.2 Wie groß sind diese Quadrate?</w:t>
      </w:r>
    </w:fldSimple>
    <w:r w:rsidR="005E2EF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FB" w:rsidRDefault="00EF74B0">
    <w:pPr>
      <w:pStyle w:val="Kopfzeile"/>
    </w:pPr>
    <w:r>
      <w:t>B2.2</w:t>
    </w:r>
    <w:r w:rsidR="0006590F">
      <w:tab/>
      <w:t>Quadrate zeichnen und deren Flächeninhalte bestimmen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B4" w:rsidRDefault="00DF24E0">
    <w:pPr>
      <w:pStyle w:val="Kopfzeile"/>
    </w:pPr>
    <w:r>
      <w:t>B2.2</w:t>
    </w:r>
    <w:r>
      <w:tab/>
    </w:r>
    <w:r>
      <w:fldChar w:fldCharType="begin"/>
    </w:r>
    <w:r>
      <w:instrText xml:space="preserve"> STYLEREF  Titel  \* MERGEFORMAT </w:instrText>
    </w:r>
    <w:r>
      <w:fldChar w:fldCharType="separate"/>
    </w:r>
    <w:r>
      <w:rPr>
        <w:noProof/>
      </w:rPr>
      <w:t>Wie groß sind diese Quadrate?</w:t>
    </w:r>
    <w:r>
      <w:rPr>
        <w:noProof/>
      </w:rPr>
      <w:fldChar w:fldCharType="end"/>
    </w:r>
    <w:r w:rsidR="00570FB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63" w:rsidRDefault="0006590F">
    <w:pPr>
      <w:pStyle w:val="Kopfzeile"/>
    </w:pPr>
    <w:r>
      <w:t>B2.2</w:t>
    </w:r>
    <w:r>
      <w:tab/>
      <w:t>Quadrate zeichnen und deren Flächeninhalte bestimmen</w:t>
    </w:r>
    <w:r w:rsidR="009A2C63">
      <w:tab/>
    </w:r>
    <w:r w:rsidR="009A2C63">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Pr="00DF24E0" w:rsidRDefault="00DF24E0" w:rsidP="00DF24E0">
    <w:pPr>
      <w:pStyle w:val="Kopfzeile"/>
    </w:pPr>
    <w:r>
      <w:t>B2.2</w:t>
    </w:r>
    <w:r>
      <w:tab/>
    </w:r>
    <w:r>
      <w:fldChar w:fldCharType="begin"/>
    </w:r>
    <w:r>
      <w:instrText xml:space="preserve"> STYLEREF  Titel  \* MERGEFORMAT </w:instrText>
    </w:r>
    <w:r>
      <w:fldChar w:fldCharType="separate"/>
    </w:r>
    <w:r>
      <w:rPr>
        <w:noProof/>
      </w:rPr>
      <w:t>Wie groß sind diese Quadrate?</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53" w:rsidRDefault="00DB14FD">
    <w:pPr>
      <w:pStyle w:val="Kopfzeile"/>
    </w:pPr>
    <w:r>
      <w:t>B2.2</w:t>
    </w:r>
    <w:r w:rsidR="0006590F">
      <w:tab/>
      <w:t>Quadrate zeichnen und deren Flächeninhalte bestimmen</w:t>
    </w:r>
    <w:r w:rsidR="002E2E53">
      <w:tab/>
    </w:r>
    <w:r w:rsidR="002E2E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529D8"/>
    <w:multiLevelType w:val="hybridMultilevel"/>
    <w:tmpl w:val="F4AAD3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EF74B0"/>
    <w:rsid w:val="000248E0"/>
    <w:rsid w:val="000250B4"/>
    <w:rsid w:val="00042422"/>
    <w:rsid w:val="0006590F"/>
    <w:rsid w:val="000F71D1"/>
    <w:rsid w:val="001842A0"/>
    <w:rsid w:val="00192F46"/>
    <w:rsid w:val="001C6D2F"/>
    <w:rsid w:val="001D3B4D"/>
    <w:rsid w:val="00280F40"/>
    <w:rsid w:val="002D69D1"/>
    <w:rsid w:val="002E2E53"/>
    <w:rsid w:val="002E3177"/>
    <w:rsid w:val="003D3916"/>
    <w:rsid w:val="003E6E68"/>
    <w:rsid w:val="00437EEB"/>
    <w:rsid w:val="00474ED6"/>
    <w:rsid w:val="00486EB9"/>
    <w:rsid w:val="004C7D38"/>
    <w:rsid w:val="004D56D3"/>
    <w:rsid w:val="00545DED"/>
    <w:rsid w:val="00570FB4"/>
    <w:rsid w:val="005E2EFB"/>
    <w:rsid w:val="005E3445"/>
    <w:rsid w:val="00620542"/>
    <w:rsid w:val="00660A83"/>
    <w:rsid w:val="00672106"/>
    <w:rsid w:val="006A77BE"/>
    <w:rsid w:val="006B7F6B"/>
    <w:rsid w:val="006D5167"/>
    <w:rsid w:val="00736F51"/>
    <w:rsid w:val="00773B3D"/>
    <w:rsid w:val="00775943"/>
    <w:rsid w:val="007D07DA"/>
    <w:rsid w:val="00816BAE"/>
    <w:rsid w:val="008262A6"/>
    <w:rsid w:val="0083508B"/>
    <w:rsid w:val="008A6E74"/>
    <w:rsid w:val="008B3359"/>
    <w:rsid w:val="008E5E67"/>
    <w:rsid w:val="00900750"/>
    <w:rsid w:val="009A2C63"/>
    <w:rsid w:val="009C3FAD"/>
    <w:rsid w:val="009F341B"/>
    <w:rsid w:val="00A14774"/>
    <w:rsid w:val="00A16C31"/>
    <w:rsid w:val="00A7062A"/>
    <w:rsid w:val="00AA1161"/>
    <w:rsid w:val="00AB383B"/>
    <w:rsid w:val="00B00081"/>
    <w:rsid w:val="00B34ECD"/>
    <w:rsid w:val="00B61461"/>
    <w:rsid w:val="00BB2557"/>
    <w:rsid w:val="00BC3736"/>
    <w:rsid w:val="00BE3726"/>
    <w:rsid w:val="00C73BFF"/>
    <w:rsid w:val="00C91D86"/>
    <w:rsid w:val="00CC6D9F"/>
    <w:rsid w:val="00CF3160"/>
    <w:rsid w:val="00CF6CC9"/>
    <w:rsid w:val="00D206B1"/>
    <w:rsid w:val="00D83B2B"/>
    <w:rsid w:val="00D94F0D"/>
    <w:rsid w:val="00DB14FD"/>
    <w:rsid w:val="00DD7618"/>
    <w:rsid w:val="00DF24E0"/>
    <w:rsid w:val="00E3123F"/>
    <w:rsid w:val="00E35B06"/>
    <w:rsid w:val="00EB73D5"/>
    <w:rsid w:val="00EF74B0"/>
    <w:rsid w:val="00FA5309"/>
    <w:rsid w:val="00FB58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 w:type="character" w:styleId="Kommentarzeichen">
    <w:name w:val="annotation reference"/>
    <w:basedOn w:val="Absatz-Standardschriftart"/>
    <w:uiPriority w:val="99"/>
    <w:semiHidden/>
    <w:unhideWhenUsed/>
    <w:rsid w:val="00D206B1"/>
    <w:rPr>
      <w:sz w:val="16"/>
      <w:szCs w:val="16"/>
    </w:rPr>
  </w:style>
  <w:style w:type="paragraph" w:styleId="Kommentartext">
    <w:name w:val="annotation text"/>
    <w:basedOn w:val="Standard"/>
    <w:link w:val="KommentartextZchn"/>
    <w:uiPriority w:val="99"/>
    <w:semiHidden/>
    <w:unhideWhenUsed/>
    <w:rsid w:val="00D206B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206B1"/>
    <w:rPr>
      <w:sz w:val="20"/>
      <w:szCs w:val="20"/>
    </w:rPr>
  </w:style>
  <w:style w:type="paragraph" w:styleId="Kommentarthema">
    <w:name w:val="annotation subject"/>
    <w:basedOn w:val="Kommentartext"/>
    <w:next w:val="Kommentartext"/>
    <w:link w:val="KommentarthemaZchn"/>
    <w:uiPriority w:val="99"/>
    <w:semiHidden/>
    <w:unhideWhenUsed/>
    <w:rsid w:val="00D206B1"/>
    <w:rPr>
      <w:b/>
      <w:bCs/>
    </w:rPr>
  </w:style>
  <w:style w:type="character" w:customStyle="1" w:styleId="KommentarthemaZchn">
    <w:name w:val="Kommentarthema Zchn"/>
    <w:basedOn w:val="KommentartextZchn"/>
    <w:link w:val="Kommentarthema"/>
    <w:uiPriority w:val="99"/>
    <w:semiHidden/>
    <w:rsid w:val="00D206B1"/>
    <w:rPr>
      <w:b/>
      <w:bCs/>
      <w:sz w:val="20"/>
      <w:szCs w:val="20"/>
    </w:rPr>
  </w:style>
  <w:style w:type="paragraph" w:styleId="Funotentext">
    <w:name w:val="footnote text"/>
    <w:basedOn w:val="Standard"/>
    <w:link w:val="FunotentextZchn"/>
    <w:unhideWhenUsed/>
    <w:qFormat/>
    <w:rsid w:val="00FA5309"/>
    <w:pPr>
      <w:spacing w:after="0" w:line="240" w:lineRule="auto"/>
    </w:pPr>
    <w:rPr>
      <w:sz w:val="20"/>
      <w:szCs w:val="20"/>
    </w:rPr>
  </w:style>
  <w:style w:type="character" w:customStyle="1" w:styleId="FunotentextZchn">
    <w:name w:val="Fußnotentext Zchn"/>
    <w:basedOn w:val="Absatz-Standardschriftart"/>
    <w:link w:val="Funotentext"/>
    <w:rsid w:val="00FA5309"/>
    <w:rPr>
      <w:sz w:val="20"/>
      <w:szCs w:val="20"/>
    </w:rPr>
  </w:style>
  <w:style w:type="character" w:styleId="Funotenzeichen">
    <w:name w:val="footnote reference"/>
    <w:basedOn w:val="Absatz-Standardschriftart"/>
    <w:uiPriority w:val="99"/>
    <w:semiHidden/>
    <w:unhideWhenUsed/>
    <w:rsid w:val="00FA5309"/>
    <w:rPr>
      <w:vertAlign w:val="superscript"/>
    </w:rPr>
  </w:style>
  <w:style w:type="character" w:styleId="Hyperlink">
    <w:name w:val="Hyperlink"/>
    <w:basedOn w:val="Absatz-Standardschriftart"/>
    <w:uiPriority w:val="99"/>
    <w:unhideWhenUsed/>
    <w:rsid w:val="00BE37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ch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E2E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2EFB"/>
  </w:style>
  <w:style w:type="paragraph" w:styleId="Fuzeile">
    <w:name w:val="footer"/>
    <w:basedOn w:val="Standard"/>
    <w:link w:val="FuzeileZchn"/>
    <w:uiPriority w:val="99"/>
    <w:unhideWhenUsed/>
    <w:rsid w:val="005E2E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2EFB"/>
  </w:style>
  <w:style w:type="paragraph" w:styleId="Titel">
    <w:name w:val="Title"/>
    <w:basedOn w:val="Standard"/>
    <w:next w:val="Standard"/>
    <w:link w:val="TitelZch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chn">
    <w:name w:val="Titel Zch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chn">
    <w:name w:val="Überschrift 1 Zch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C73B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3BFF"/>
    <w:rPr>
      <w:rFonts w:ascii="Tahoma" w:hAnsi="Tahoma" w:cs="Tahoma"/>
      <w:sz w:val="16"/>
      <w:szCs w:val="16"/>
    </w:rPr>
  </w:style>
  <w:style w:type="table" w:styleId="Tabellenraster">
    <w:name w:val="Table Grid"/>
    <w:basedOn w:val="NormaleTabelle"/>
    <w:uiPriority w:val="59"/>
    <w:rsid w:val="00EF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4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ntwicklung.nrw.de/q/inklusive-schulische-bildung/lern-und-entwicklungsplanung/lernen-planen/lernausgangslage-erheben-und-dokumentieren/lernausgangslage-erheben-und-dokumentieren.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AppData\Local\Temp\Vorlage%20Arbeitsblatt-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D600-CCA4-44A4-8EC7-76A94AF7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Arbeitsblatt-7.dotx</Template>
  <TotalTime>0</TotalTime>
  <Pages>6</Pages>
  <Words>808</Words>
  <Characters>5092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Christoph</dc:creator>
  <cp:keywords>inklusiver Fachunterricht, Mathematik, rechter Winkel, Lernaufgaben</cp:keywords>
  <cp:lastModifiedBy>Eßer, Susanne</cp:lastModifiedBy>
  <cp:revision>7</cp:revision>
  <cp:lastPrinted>2017-06-08T06:57:00Z</cp:lastPrinted>
  <dcterms:created xsi:type="dcterms:W3CDTF">2018-03-15T09:39:00Z</dcterms:created>
  <dcterms:modified xsi:type="dcterms:W3CDTF">2018-07-02T12:10:00Z</dcterms:modified>
</cp:coreProperties>
</file>