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61" w:rsidRPr="00C663EA" w:rsidRDefault="009B5061" w:rsidP="009B5061">
      <w:pPr>
        <w:spacing w:before="120"/>
        <w:rPr>
          <w:rFonts w:asciiTheme="minorHAnsi" w:hAnsiTheme="minorHAnsi" w:cstheme="minorHAnsi"/>
          <w:b/>
          <w:i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7"/>
        <w:gridCol w:w="9180"/>
      </w:tblGrid>
      <w:tr w:rsidR="00BC55DD" w:rsidRPr="00C663EA" w:rsidTr="0077123C">
        <w:tc>
          <w:tcPr>
            <w:tcW w:w="5000" w:type="pct"/>
            <w:gridSpan w:val="2"/>
            <w:shd w:val="clear" w:color="auto" w:fill="D9D9D9" w:themeFill="background1" w:themeFillShade="D9"/>
          </w:tcPr>
          <w:p w:rsidR="00BC55DD" w:rsidRPr="00C663EA" w:rsidRDefault="00BC55DD" w:rsidP="00090C39">
            <w:pPr>
              <w:suppressAutoHyphens w:val="0"/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Jahrgangsstufe 8</w:t>
            </w:r>
          </w:p>
        </w:tc>
      </w:tr>
      <w:tr w:rsidR="009B5061" w:rsidRPr="00C663EA" w:rsidTr="0077123C">
        <w:tc>
          <w:tcPr>
            <w:tcW w:w="5000" w:type="pct"/>
            <w:gridSpan w:val="2"/>
          </w:tcPr>
          <w:p w:rsidR="00BC55DD" w:rsidRPr="00C663EA" w:rsidRDefault="009B5061" w:rsidP="00C663EA">
            <w:pPr>
              <w:suppressAutoHyphens w:val="0"/>
              <w:spacing w:before="120" w:after="200" w:line="276" w:lineRule="auto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u w:val="single"/>
                <w:lang w:eastAsia="en-US"/>
              </w:rPr>
              <w:t xml:space="preserve">Unterrichtsvorhaben </w:t>
            </w:r>
            <w:r w:rsidR="00BC55DD"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u w:val="single"/>
                <w:lang w:eastAsia="en-US"/>
              </w:rPr>
              <w:t>II</w:t>
            </w: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 xml:space="preserve">: </w:t>
            </w:r>
            <w:r w:rsidR="00BC55DD"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Hoffnung auf Befreiung und Erneuerung – Martin Luther und die Reformation</w:t>
            </w:r>
          </w:p>
          <w:p w:rsidR="00BC55DD" w:rsidRPr="00C663EA" w:rsidRDefault="00BC55DD" w:rsidP="00C663EA">
            <w:p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b/>
                <w:sz w:val="20"/>
              </w:rPr>
              <w:t>Inhaltsfelder und inhaltliche Schwerpunkte</w:t>
            </w:r>
            <w:r w:rsidRPr="00C663EA">
              <w:rPr>
                <w:rFonts w:asciiTheme="minorHAnsi" w:hAnsiTheme="minorHAnsi" w:cstheme="minorHAnsi"/>
                <w:sz w:val="20"/>
              </w:rPr>
              <w:t>:</w:t>
            </w:r>
          </w:p>
          <w:p w:rsidR="00BC55DD" w:rsidRPr="00C663EA" w:rsidRDefault="00BC55DD" w:rsidP="0077123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IF 1: Menschsein in Freiheit und Verantwortung</w:t>
            </w:r>
          </w:p>
          <w:p w:rsidR="00BC55DD" w:rsidRPr="00C663EA" w:rsidRDefault="00BC55DD" w:rsidP="002E635B">
            <w:pPr>
              <w:pStyle w:val="Listenabsatz"/>
              <w:numPr>
                <w:ilvl w:val="0"/>
                <w:numId w:val="15"/>
              </w:numPr>
              <w:suppressAutoHyphens w:val="0"/>
              <w:spacing w:before="120" w:after="200" w:line="276" w:lineRule="auto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Leben aus dem Glauben: Leitbilder in Geschichte oder Gegenwart</w:t>
            </w:r>
          </w:p>
          <w:p w:rsidR="00BC55DD" w:rsidRPr="00C663EA" w:rsidRDefault="00BC55DD" w:rsidP="0077123C">
            <w:pPr>
              <w:pStyle w:val="Listenabsatz"/>
              <w:numPr>
                <w:ilvl w:val="0"/>
                <w:numId w:val="15"/>
              </w:numPr>
              <w:suppressAutoHyphens w:val="0"/>
              <w:spacing w:before="120"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Menschsein in der Spannung von Gelingen, Scheitern und Neuanfang</w:t>
            </w:r>
          </w:p>
          <w:p w:rsidR="00BC55DD" w:rsidRPr="00C663EA" w:rsidRDefault="00BC55DD" w:rsidP="0077123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IF 4: Kirche als Nachfolgegemeinschaft</w:t>
            </w:r>
          </w:p>
          <w:p w:rsidR="00BC55DD" w:rsidRPr="00C663EA" w:rsidRDefault="00BC55DD" w:rsidP="0077123C">
            <w:pPr>
              <w:pStyle w:val="Listenabsatz"/>
              <w:numPr>
                <w:ilvl w:val="0"/>
                <w:numId w:val="16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 xml:space="preserve">Kirche im Wandel angesichts zeitgeschichtlicher Entwicklungen 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16"/>
              </w:numPr>
              <w:suppressAutoHyphens w:val="0"/>
              <w:spacing w:after="120" w:line="276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Reformation – Ökumene</w:t>
            </w:r>
          </w:p>
          <w:p w:rsidR="009B5061" w:rsidRPr="00C663EA" w:rsidRDefault="00BC55DD" w:rsidP="00C663EA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b/>
                <w:sz w:val="20"/>
              </w:rPr>
              <w:t>Zeitbedarf</w:t>
            </w:r>
            <w:r w:rsidRPr="00C663EA">
              <w:rPr>
                <w:rFonts w:asciiTheme="minorHAnsi" w:hAnsiTheme="minorHAnsi" w:cstheme="minorHAnsi"/>
                <w:sz w:val="20"/>
              </w:rPr>
              <w:t xml:space="preserve">: ca. 12 </w:t>
            </w:r>
            <w:proofErr w:type="spellStart"/>
            <w:r w:rsidRPr="00C663EA">
              <w:rPr>
                <w:rFonts w:asciiTheme="minorHAnsi" w:hAnsiTheme="minorHAnsi" w:cstheme="minorHAnsi"/>
                <w:sz w:val="20"/>
              </w:rPr>
              <w:t>Ustd</w:t>
            </w:r>
            <w:proofErr w:type="spellEnd"/>
            <w:r w:rsidRPr="00C663E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B5061" w:rsidRPr="00C663EA" w:rsidTr="0077123C">
        <w:tc>
          <w:tcPr>
            <w:tcW w:w="5000" w:type="pct"/>
            <w:gridSpan w:val="2"/>
          </w:tcPr>
          <w:p w:rsidR="00BC55DD" w:rsidRPr="00C663EA" w:rsidRDefault="0077123C" w:rsidP="00C663EA">
            <w:pPr>
              <w:spacing w:before="60" w:line="276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C663EA">
              <w:rPr>
                <w:rFonts w:asciiTheme="minorHAnsi" w:hAnsiTheme="minorHAnsi" w:cstheme="minorHAnsi"/>
                <w:b/>
                <w:sz w:val="20"/>
                <w:u w:val="single"/>
              </w:rPr>
              <w:t>Ü</w:t>
            </w:r>
            <w:r w:rsidR="00BC55DD" w:rsidRPr="00C663EA">
              <w:rPr>
                <w:rFonts w:asciiTheme="minorHAnsi" w:hAnsiTheme="minorHAnsi" w:cstheme="minorHAnsi"/>
                <w:b/>
                <w:sz w:val="20"/>
                <w:u w:val="single"/>
              </w:rPr>
              <w:t>bergeordnete Kompetenzerwartungen</w:t>
            </w:r>
          </w:p>
          <w:p w:rsidR="00BC55DD" w:rsidRPr="00C663EA" w:rsidRDefault="00BC55DD" w:rsidP="0077123C">
            <w:pPr>
              <w:spacing w:before="120" w:line="276" w:lineRule="auto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Die Schülerinnen und Schüler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21"/>
              </w:numPr>
              <w:suppressAutoHyphens w:val="0"/>
              <w:spacing w:after="200" w:line="276" w:lineRule="auto"/>
              <w:ind w:left="641" w:hanging="357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 xml:space="preserve">ordnen Antworten auf die Gottesfrage in ihre individuellen, gesellschaftlichen und historischen Kontexte ein, </w:t>
            </w:r>
            <w:r w:rsidR="00C663EA">
              <w:rPr>
                <w:rFonts w:asciiTheme="minorHAnsi" w:hAnsiTheme="minorHAnsi" w:cstheme="minorHAnsi"/>
                <w:sz w:val="20"/>
              </w:rPr>
              <w:t>(</w:t>
            </w:r>
            <w:r w:rsidRPr="00C663EA">
              <w:rPr>
                <w:rFonts w:asciiTheme="minorHAnsi" w:hAnsiTheme="minorHAnsi" w:cstheme="minorHAnsi"/>
                <w:sz w:val="20"/>
              </w:rPr>
              <w:t>SK2</w:t>
            </w:r>
            <w:r w:rsidR="00C663EA">
              <w:rPr>
                <w:rFonts w:asciiTheme="minorHAnsi" w:hAnsiTheme="minorHAnsi" w:cstheme="minorHAnsi"/>
                <w:sz w:val="20"/>
              </w:rPr>
              <w:t>)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21"/>
              </w:numPr>
              <w:suppressAutoHyphens w:val="0"/>
              <w:spacing w:after="200" w:line="276" w:lineRule="auto"/>
              <w:ind w:left="641" w:hanging="357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 xml:space="preserve">erklären exemplarisch historische Herausforderungen der Kirche in der Nachfolge Jesu, </w:t>
            </w:r>
            <w:r w:rsidR="00C663EA">
              <w:rPr>
                <w:rFonts w:asciiTheme="minorHAnsi" w:hAnsiTheme="minorHAnsi" w:cstheme="minorHAnsi"/>
                <w:sz w:val="20"/>
              </w:rPr>
              <w:t>(</w:t>
            </w:r>
            <w:r w:rsidRPr="00C663EA">
              <w:rPr>
                <w:rFonts w:asciiTheme="minorHAnsi" w:hAnsiTheme="minorHAnsi" w:cstheme="minorHAnsi"/>
                <w:sz w:val="20"/>
              </w:rPr>
              <w:t>SK4</w:t>
            </w:r>
            <w:r w:rsidR="00C663EA">
              <w:rPr>
                <w:rFonts w:asciiTheme="minorHAnsi" w:hAnsiTheme="minorHAnsi" w:cstheme="minorHAnsi"/>
                <w:sz w:val="20"/>
              </w:rPr>
              <w:t>)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21"/>
              </w:numPr>
              <w:suppressAutoHyphens w:val="0"/>
              <w:spacing w:after="200" w:line="276" w:lineRule="auto"/>
              <w:ind w:left="641" w:hanging="357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 xml:space="preserve">analysieren in Grundzügen religiös relevante Texte, </w:t>
            </w:r>
            <w:r w:rsidR="00C663EA">
              <w:rPr>
                <w:rFonts w:asciiTheme="minorHAnsi" w:hAnsiTheme="minorHAnsi" w:cstheme="minorHAnsi"/>
                <w:sz w:val="20"/>
              </w:rPr>
              <w:t>(</w:t>
            </w:r>
            <w:r w:rsidRPr="00C663EA">
              <w:rPr>
                <w:rFonts w:asciiTheme="minorHAnsi" w:hAnsiTheme="minorHAnsi" w:cstheme="minorHAnsi"/>
                <w:sz w:val="20"/>
              </w:rPr>
              <w:t>MK1</w:t>
            </w:r>
            <w:r w:rsidR="00C663EA">
              <w:rPr>
                <w:rFonts w:asciiTheme="minorHAnsi" w:hAnsiTheme="minorHAnsi" w:cstheme="minorHAnsi"/>
                <w:sz w:val="20"/>
              </w:rPr>
              <w:t>)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21"/>
              </w:numPr>
              <w:suppressAutoHyphens w:val="0"/>
              <w:spacing w:after="200" w:line="276" w:lineRule="auto"/>
              <w:ind w:left="641" w:hanging="357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analysieren kriteriengeleitet religiös relevante künstlerische Darstellungen und deuten sie,</w:t>
            </w:r>
            <w:r w:rsidR="00C663EA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C663EA">
              <w:rPr>
                <w:rFonts w:asciiTheme="minorHAnsi" w:hAnsiTheme="minorHAnsi" w:cstheme="minorHAnsi"/>
                <w:sz w:val="20"/>
              </w:rPr>
              <w:t>MK4</w:t>
            </w:r>
            <w:r w:rsidR="00C663EA">
              <w:rPr>
                <w:rFonts w:asciiTheme="minorHAnsi" w:hAnsiTheme="minorHAnsi" w:cstheme="minorHAnsi"/>
                <w:sz w:val="20"/>
              </w:rPr>
              <w:t>)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21"/>
              </w:numPr>
              <w:suppressAutoHyphens w:val="0"/>
              <w:spacing w:after="200" w:line="276" w:lineRule="auto"/>
              <w:ind w:left="641" w:hanging="357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 xml:space="preserve">erörtern unterschiedliche Positionen und entwickeln einen eigenen Standpunkt in religiösen und ethischen Fragen, </w:t>
            </w:r>
            <w:r w:rsidR="00C663EA">
              <w:rPr>
                <w:rFonts w:asciiTheme="minorHAnsi" w:hAnsiTheme="minorHAnsi" w:cstheme="minorHAnsi"/>
                <w:sz w:val="20"/>
              </w:rPr>
              <w:t>(</w:t>
            </w:r>
            <w:r w:rsidRPr="00C663EA">
              <w:rPr>
                <w:rFonts w:asciiTheme="minorHAnsi" w:hAnsiTheme="minorHAnsi" w:cstheme="minorHAnsi"/>
                <w:sz w:val="20"/>
              </w:rPr>
              <w:t>UK1</w:t>
            </w:r>
            <w:r w:rsidR="00C663EA">
              <w:rPr>
                <w:rFonts w:asciiTheme="minorHAnsi" w:hAnsiTheme="minorHAnsi" w:cstheme="minorHAnsi"/>
                <w:sz w:val="20"/>
              </w:rPr>
              <w:t>)</w:t>
            </w:r>
          </w:p>
          <w:p w:rsidR="009B5061" w:rsidRPr="00C663EA" w:rsidRDefault="00BC55DD" w:rsidP="00C663EA">
            <w:pPr>
              <w:pStyle w:val="Listenabsatz"/>
              <w:numPr>
                <w:ilvl w:val="0"/>
                <w:numId w:val="21"/>
              </w:numPr>
              <w:suppressAutoHyphens w:val="0"/>
              <w:spacing w:after="60" w:line="276" w:lineRule="auto"/>
              <w:ind w:left="641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C663EA">
              <w:rPr>
                <w:rFonts w:asciiTheme="minorHAnsi" w:hAnsiTheme="minorHAnsi" w:cstheme="minorHAnsi"/>
                <w:sz w:val="20"/>
              </w:rPr>
              <w:t>nehmen begründet Stellung zu religiösen und ethischen Fragen und</w:t>
            </w:r>
            <w:r w:rsidR="00C663EA">
              <w:rPr>
                <w:rFonts w:asciiTheme="minorHAnsi" w:hAnsiTheme="minorHAnsi" w:cstheme="minorHAnsi"/>
                <w:sz w:val="20"/>
              </w:rPr>
              <w:t xml:space="preserve"> vertreten eine eigene Position.</w:t>
            </w:r>
            <w:r w:rsidRPr="00C663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663EA">
              <w:rPr>
                <w:rFonts w:asciiTheme="minorHAnsi" w:hAnsiTheme="minorHAnsi" w:cstheme="minorHAnsi"/>
                <w:sz w:val="20"/>
              </w:rPr>
              <w:t>(</w:t>
            </w:r>
            <w:r w:rsidRPr="00C663EA">
              <w:rPr>
                <w:rFonts w:asciiTheme="minorHAnsi" w:hAnsiTheme="minorHAnsi" w:cstheme="minorHAnsi"/>
                <w:sz w:val="20"/>
              </w:rPr>
              <w:t>HK1</w:t>
            </w:r>
            <w:r w:rsidR="00C663EA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9B5061" w:rsidRPr="00C663EA" w:rsidTr="00AD61EF">
        <w:tc>
          <w:tcPr>
            <w:tcW w:w="1785" w:type="pct"/>
          </w:tcPr>
          <w:p w:rsidR="009B5061" w:rsidRPr="00C663EA" w:rsidRDefault="009B5061" w:rsidP="0077123C">
            <w:pPr>
              <w:suppressAutoHyphens w:val="0"/>
              <w:spacing w:before="120" w:after="200" w:line="276" w:lineRule="auto"/>
              <w:jc w:val="left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u w:val="single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u w:val="single"/>
                <w:lang w:eastAsia="en-US"/>
              </w:rPr>
              <w:t>Konkretisierte Kompetenzerwartungen</w:t>
            </w:r>
          </w:p>
          <w:p w:rsidR="00D92057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beschreiben vor dem Hintergrund des christlichen Menschenbildes Aspekte, die eine Frau oder einen Mann zu einem Leitbild für das Leben von Menschen machen können,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K1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</w:p>
          <w:p w:rsidR="00D92057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lastRenderedPageBreak/>
              <w:t xml:space="preserve">identifizieren und erläutern Erfahrungen von Abhängigkeit bzw. Unfreiheit, Schuld und Scheitern sowie Möglichkeiten der Versöhnung und des Neuanfangs,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K3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</w:p>
          <w:p w:rsidR="0077123C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beurteilen an einem konkreten Beispiel die Bedeutsamkeit einer Gewissensentscheidung für das eigene Leben und das Zusammenleben mit anderen,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K9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</w:p>
          <w:p w:rsidR="00D92057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beschreiben den Aufbau und das Selbstverständnis der katholischen Kirche,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K29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</w:p>
          <w:p w:rsidR="0077123C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legen an Beispielen aus der Kirchengeschichte Herausforderungen für eine Kirche in der Nachfolge Jesu dar,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K30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</w:p>
          <w:p w:rsidR="00D92057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erläutern historische und religiöse Ursachen der Kirchentrennung im 16. Jahrhundert,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K31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</w:p>
          <w:p w:rsidR="009B5061" w:rsidRPr="00C663EA" w:rsidRDefault="00D92057" w:rsidP="00C663EA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357" w:hanging="357"/>
              <w:jc w:val="left"/>
              <w:rPr>
                <w:rFonts w:asciiTheme="minorHAnsi" w:eastAsiaTheme="minorHAnsi" w:hAnsiTheme="minorHAnsi" w:cstheme="minorHAnsi"/>
                <w:b/>
                <w:i/>
                <w:color w:val="000000" w:themeColor="text1"/>
                <w:kern w:val="0"/>
                <w:sz w:val="20"/>
                <w:u w:val="single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erläutern den ökumenischen Auftrag der Kirche und verdeutlich</w:t>
            </w:r>
            <w:r w:rsidR="00090C39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en exemplarisch seine Umsetzung.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(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K32</w:t>
            </w:r>
            <w:r w:rsid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)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ab/>
            </w:r>
          </w:p>
        </w:tc>
        <w:tc>
          <w:tcPr>
            <w:tcW w:w="3215" w:type="pct"/>
          </w:tcPr>
          <w:p w:rsidR="009B5061" w:rsidRPr="00C663EA" w:rsidRDefault="009B5061" w:rsidP="0077123C">
            <w:pPr>
              <w:suppressAutoHyphens w:val="0"/>
              <w:spacing w:before="120" w:after="200" w:line="276" w:lineRule="auto"/>
              <w:rPr>
                <w:rFonts w:asciiTheme="minorHAnsi" w:eastAsiaTheme="minorHAnsi" w:hAnsiTheme="minorHAnsi" w:cstheme="minorHAnsi"/>
                <w:b/>
                <w:i/>
                <w:color w:val="000000" w:themeColor="text1"/>
                <w:kern w:val="0"/>
                <w:sz w:val="20"/>
                <w:u w:val="single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i/>
                <w:color w:val="000000" w:themeColor="text1"/>
                <w:kern w:val="0"/>
                <w:sz w:val="20"/>
                <w:u w:val="single"/>
                <w:lang w:eastAsia="en-US"/>
              </w:rPr>
              <w:lastRenderedPageBreak/>
              <w:t>Vereinbarungen der Fachkonferenz:</w:t>
            </w:r>
          </w:p>
          <w:p w:rsidR="009B5061" w:rsidRPr="00C663EA" w:rsidRDefault="009B5061" w:rsidP="00C663EA">
            <w:pPr>
              <w:suppressAutoHyphens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inhaltliche Akzentsetzungen: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t>Die Welt im Umbruch vom Mittelalter zur Neuzeit: Ereignisse und Lebensgefühl der Menschen (z.</w:t>
            </w:r>
            <w:r w:rsidR="00C663EA">
              <w:rPr>
                <w:rFonts w:asciiTheme="minorHAnsi" w:hAnsiTheme="minorHAnsi" w:cstheme="minorHAnsi"/>
                <w:kern w:val="0"/>
                <w:sz w:val="20"/>
              </w:rPr>
              <w:t> </w:t>
            </w:r>
            <w:r w:rsidRPr="00C663EA">
              <w:rPr>
                <w:rFonts w:asciiTheme="minorHAnsi" w:hAnsiTheme="minorHAnsi" w:cstheme="minorHAnsi"/>
                <w:kern w:val="0"/>
                <w:sz w:val="20"/>
              </w:rPr>
              <w:t>B. Ängste (vor Gott, vorm Fegefeuer, …))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t>Luther: Leben, Ängste und Erkenntnis (Gottesbild)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t>Ablasspredigt – Thesen Luthers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lastRenderedPageBreak/>
              <w:t xml:space="preserve">Reichstag zu Worms </w:t>
            </w:r>
            <w:r w:rsidRPr="00C663EA">
              <w:rPr>
                <w:rFonts w:asciiTheme="minorHAnsi" w:hAnsiTheme="minorHAnsi" w:cstheme="minorHAnsi"/>
                <w:i/>
                <w:iCs/>
                <w:kern w:val="0"/>
                <w:sz w:val="20"/>
              </w:rPr>
              <w:t>(auch.: Gewissenkonflikt Luthers)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t>Augsburger Religionsfriede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t>Bedeutung der Reformation</w:t>
            </w:r>
          </w:p>
          <w:p w:rsidR="00BC55DD" w:rsidRPr="00C663EA" w:rsidRDefault="00D92057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i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 xml:space="preserve">(ggf. als </w:t>
            </w:r>
            <w:proofErr w:type="spellStart"/>
            <w:r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Wdh</w:t>
            </w:r>
            <w:r w:rsidR="00340DFA">
              <w:rPr>
                <w:rFonts w:asciiTheme="minorHAnsi" w:hAnsiTheme="minorHAnsi" w:cstheme="minorHAnsi"/>
                <w:i/>
                <w:kern w:val="0"/>
                <w:sz w:val="20"/>
              </w:rPr>
              <w:t>lg</w:t>
            </w:r>
            <w:proofErr w:type="spellEnd"/>
            <w:r w:rsidR="00340DFA">
              <w:rPr>
                <w:rFonts w:asciiTheme="minorHAnsi" w:hAnsiTheme="minorHAnsi" w:cstheme="minorHAnsi"/>
                <w:i/>
                <w:kern w:val="0"/>
                <w:sz w:val="20"/>
              </w:rPr>
              <w:t>.</w:t>
            </w:r>
            <w:r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 xml:space="preserve">) </w:t>
            </w:r>
            <w:r w:rsidR="00BC55DD"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Gemeinsamkeiten und Unterschiede ev</w:t>
            </w:r>
            <w:r w:rsidR="00C663EA">
              <w:rPr>
                <w:rFonts w:asciiTheme="minorHAnsi" w:hAnsiTheme="minorHAnsi" w:cstheme="minorHAnsi"/>
                <w:i/>
                <w:kern w:val="0"/>
                <w:sz w:val="20"/>
              </w:rPr>
              <w:t>.</w:t>
            </w:r>
            <w:r w:rsidR="00340DFA">
              <w:rPr>
                <w:rFonts w:asciiTheme="minorHAnsi" w:hAnsiTheme="minorHAnsi" w:cstheme="minorHAnsi"/>
                <w:i/>
                <w:kern w:val="0"/>
                <w:sz w:val="20"/>
              </w:rPr>
              <w:t xml:space="preserve"> </w:t>
            </w:r>
            <w:r w:rsidR="00BC55DD"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-</w:t>
            </w:r>
            <w:r w:rsidR="00340DFA">
              <w:rPr>
                <w:rFonts w:asciiTheme="minorHAnsi" w:hAnsiTheme="minorHAnsi" w:cstheme="minorHAnsi"/>
                <w:i/>
                <w:kern w:val="0"/>
                <w:sz w:val="20"/>
              </w:rPr>
              <w:t xml:space="preserve"> </w:t>
            </w:r>
            <w:r w:rsidR="00BC55DD"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kath</w:t>
            </w:r>
            <w:r w:rsidR="00C663EA">
              <w:rPr>
                <w:rFonts w:asciiTheme="minorHAnsi" w:hAnsiTheme="minorHAnsi" w:cstheme="minorHAnsi"/>
                <w:i/>
                <w:kern w:val="0"/>
                <w:sz w:val="20"/>
              </w:rPr>
              <w:t>.</w:t>
            </w:r>
            <w:r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; Unterschiede kath.-</w:t>
            </w:r>
            <w:r w:rsidR="00340DFA">
              <w:rPr>
                <w:rFonts w:asciiTheme="minorHAnsi" w:hAnsiTheme="minorHAnsi" w:cstheme="minorHAnsi"/>
                <w:i/>
                <w:kern w:val="0"/>
                <w:sz w:val="20"/>
              </w:rPr>
              <w:t xml:space="preserve"> </w:t>
            </w:r>
            <w:r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 xml:space="preserve">ev. </w:t>
            </w:r>
            <w:proofErr w:type="spellStart"/>
            <w:r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kirche</w:t>
            </w:r>
            <w:proofErr w:type="spellEnd"/>
            <w:r w:rsidR="00BC55DD" w:rsidRPr="00C663EA">
              <w:rPr>
                <w:rFonts w:asciiTheme="minorHAnsi" w:hAnsiTheme="minorHAnsi" w:cstheme="minorHAnsi"/>
                <w:i/>
                <w:kern w:val="0"/>
                <w:sz w:val="20"/>
              </w:rPr>
              <w:t>.</w:t>
            </w:r>
          </w:p>
          <w:p w:rsidR="00BC55DD" w:rsidRPr="00C663EA" w:rsidRDefault="00BC55DD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</w:rPr>
            </w:pPr>
            <w:r w:rsidRPr="00C663EA">
              <w:rPr>
                <w:rFonts w:asciiTheme="minorHAnsi" w:hAnsiTheme="minorHAnsi" w:cstheme="minorHAnsi"/>
                <w:kern w:val="0"/>
                <w:sz w:val="20"/>
              </w:rPr>
              <w:t xml:space="preserve">Ökumene als bleibende Herausforderung </w:t>
            </w:r>
            <w:r w:rsidR="00D92057" w:rsidRPr="00C663EA">
              <w:rPr>
                <w:rFonts w:asciiTheme="minorHAnsi" w:hAnsiTheme="minorHAnsi" w:cstheme="minorHAnsi"/>
                <w:kern w:val="0"/>
                <w:sz w:val="20"/>
              </w:rPr>
              <w:t>– Beispiele für gelingende Ökumene</w:t>
            </w:r>
          </w:p>
          <w:p w:rsidR="0077123C" w:rsidRPr="00C663EA" w:rsidRDefault="00340DFA" w:rsidP="00AD61E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</w:rPr>
              <w:t>g</w:t>
            </w:r>
            <w:r w:rsidR="00C5764E" w:rsidRPr="00C663EA">
              <w:rPr>
                <w:rFonts w:asciiTheme="minorHAnsi" w:hAnsiTheme="minorHAnsi" w:cstheme="minorHAnsi"/>
                <w:kern w:val="0"/>
                <w:sz w:val="20"/>
              </w:rPr>
              <w:t>gf. Rezeptionsgeschichte (z.</w:t>
            </w:r>
            <w:r w:rsidR="00C663EA">
              <w:rPr>
                <w:rFonts w:asciiTheme="minorHAnsi" w:hAnsiTheme="minorHAnsi" w:cstheme="minorHAnsi"/>
                <w:kern w:val="0"/>
                <w:sz w:val="20"/>
              </w:rPr>
              <w:t> </w:t>
            </w:r>
            <w:r w:rsidR="00C5764E" w:rsidRPr="00C663EA">
              <w:rPr>
                <w:rFonts w:asciiTheme="minorHAnsi" w:hAnsiTheme="minorHAnsi" w:cstheme="minorHAnsi"/>
                <w:kern w:val="0"/>
                <w:sz w:val="20"/>
              </w:rPr>
              <w:t xml:space="preserve">B. Martin Luther und die Juden – vgl. </w:t>
            </w:r>
            <w:r>
              <w:rPr>
                <w:rFonts w:asciiTheme="minorHAnsi" w:hAnsiTheme="minorHAnsi" w:cstheme="minorHAnsi"/>
                <w:kern w:val="0"/>
                <w:sz w:val="20"/>
              </w:rPr>
              <w:t>Jg. 9, UV V</w:t>
            </w:r>
            <w:r w:rsidR="00C5764E" w:rsidRPr="00C663EA">
              <w:rPr>
                <w:rFonts w:asciiTheme="minorHAnsi" w:hAnsiTheme="minorHAnsi" w:cstheme="minorHAnsi"/>
                <w:kern w:val="0"/>
                <w:sz w:val="20"/>
              </w:rPr>
              <w:t>)</w:t>
            </w:r>
          </w:p>
          <w:p w:rsidR="00BC55DD" w:rsidRPr="00C663EA" w:rsidRDefault="00340DFA" w:rsidP="00AD61EF">
            <w:pPr>
              <w:numPr>
                <w:ilvl w:val="0"/>
                <w:numId w:val="23"/>
              </w:numPr>
              <w:suppressAutoHyphens w:val="0"/>
              <w:spacing w:after="60"/>
              <w:jc w:val="left"/>
              <w:rPr>
                <w:rFonts w:asciiTheme="minorHAnsi" w:hAnsiTheme="minorHAnsi" w:cstheme="minorHAnsi"/>
                <w:kern w:val="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g</w:t>
            </w:r>
            <w:r w:rsidR="00BC55DD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gf. als arbeitsteilige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(r)</w:t>
            </w:r>
            <w:r w:rsidR="00BC55DD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 Exkurs(e): </w:t>
            </w:r>
          </w:p>
          <w:p w:rsidR="00BC55DD" w:rsidRPr="00C663EA" w:rsidRDefault="00BC55DD" w:rsidP="00C663EA">
            <w:pPr>
              <w:pStyle w:val="Listenabsatz"/>
              <w:numPr>
                <w:ilvl w:val="0"/>
                <w:numId w:val="19"/>
              </w:numPr>
              <w:suppressAutoHyphens w:val="0"/>
              <w:spacing w:line="276" w:lineRule="auto"/>
              <w:ind w:left="714" w:hanging="357"/>
              <w:contextualSpacing w:val="0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Die Reformation in unserer Stadt (</w:t>
            </w:r>
            <w:r w:rsidR="00340DF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Bsp. 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Münster) – die Wiedertäufer (</w:t>
            </w:r>
            <w:proofErr w:type="spellStart"/>
            <w:r w:rsidR="00340DF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Lit</w:t>
            </w:r>
            <w:proofErr w:type="spellEnd"/>
            <w:r w:rsidR="00340DF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. z. B.: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 Voßhenrich</w:t>
            </w:r>
            <w:r w:rsidR="0077123C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, Tobias: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 „Wie war das denn hier?“ – Die Reformation in der Stadt. Ein lokalgeschichtliches Fallbeispiel. In: </w:t>
            </w:r>
            <w:proofErr w:type="spellStart"/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RelliS</w:t>
            </w:r>
            <w:proofErr w:type="spellEnd"/>
            <w:r w:rsidR="004D075E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, Zeitschrift für den katholischen Religionsunterricht, Heft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 3/2016, </w:t>
            </w:r>
            <w:r w:rsidR="00340DF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Paderborn 2016, S. 20-25</w:t>
            </w:r>
            <w:r w:rsidR="003C11B2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)</w:t>
            </w:r>
          </w:p>
          <w:p w:rsidR="00BC55DD" w:rsidRPr="00C663EA" w:rsidRDefault="00BC55DD" w:rsidP="0077123C">
            <w:pPr>
              <w:pStyle w:val="Listenabsatz"/>
              <w:numPr>
                <w:ilvl w:val="0"/>
                <w:numId w:val="19"/>
              </w:numPr>
              <w:suppressAutoHyphens w:val="0"/>
              <w:spacing w:before="120"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Katharina von Bora – (m</w:t>
            </w:r>
            <w:r w:rsidR="00C601B3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eh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r als nur) die Frau des Reformators (</w:t>
            </w:r>
            <w:proofErr w:type="spellStart"/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Li</w:t>
            </w:r>
            <w:r w:rsidR="003455FD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t</w:t>
            </w:r>
            <w:proofErr w:type="spellEnd"/>
            <w:r w:rsidR="00340DF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. z. </w:t>
            </w:r>
            <w:r w:rsidR="00D00618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B.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.: </w:t>
            </w:r>
            <w:r w:rsidR="00C5764E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Holze, </w:t>
            </w:r>
            <w:r w:rsidR="0077123C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Erhard: 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Dr. Martinus und Frau Käthe – eine Frauenbiographie als Zugang zur Reformation. </w:t>
            </w:r>
            <w:r w:rsidR="00C5764E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In: </w:t>
            </w:r>
            <w:proofErr w:type="spellStart"/>
            <w:r w:rsidR="00C5764E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RelliS</w:t>
            </w:r>
            <w:proofErr w:type="spellEnd"/>
            <w:r w:rsidR="004D075E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, Zeitschrift für den katholischen Religionsunterricht, Heft</w:t>
            </w:r>
            <w:r w:rsidR="00C5764E"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 3/2016, </w:t>
            </w:r>
            <w:r w:rsidR="00340DF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 xml:space="preserve">Paderborn 2016, </w:t>
            </w:r>
            <w:r w:rsidR="003C11B2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S.26-31)</w:t>
            </w:r>
          </w:p>
          <w:p w:rsidR="009B5061" w:rsidRPr="00C663EA" w:rsidRDefault="009B5061" w:rsidP="00C663EA">
            <w:pPr>
              <w:suppressAutoHyphens w:val="0"/>
              <w:spacing w:before="120" w:after="60" w:line="276" w:lineRule="auto"/>
              <w:jc w:val="left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didaktisch-methodische Anregungen, z.</w:t>
            </w:r>
            <w:r w:rsid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 </w:t>
            </w: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B.:</w:t>
            </w:r>
          </w:p>
          <w:p w:rsidR="009B5061" w:rsidRPr="00C663EA" w:rsidRDefault="00C5764E" w:rsidP="0077123C">
            <w:pPr>
              <w:pStyle w:val="Listenabsatz"/>
              <w:numPr>
                <w:ilvl w:val="0"/>
                <w:numId w:val="20"/>
              </w:numPr>
              <w:suppressAutoHyphens w:val="0"/>
              <w:spacing w:before="120" w:after="200" w:line="276" w:lineRule="auto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Filmanalyse: Luther (</w:t>
            </w:r>
            <w:r w:rsidR="00AD61EF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Spielfilm, Regie: Till, Eric, USA/Deutschland/Großbritannien, 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2003)</w:t>
            </w:r>
            <w:r w:rsidR="003455FD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</w:t>
            </w:r>
          </w:p>
          <w:p w:rsidR="003C11B2" w:rsidRPr="003C11B2" w:rsidRDefault="0077123C" w:rsidP="003C11B2">
            <w:pPr>
              <w:pStyle w:val="Listenabsatz"/>
              <w:numPr>
                <w:ilvl w:val="0"/>
                <w:numId w:val="20"/>
              </w:numPr>
              <w:suppressAutoHyphens w:val="0"/>
              <w:spacing w:before="120" w:after="200" w:line="276" w:lineRule="auto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Auszüge aus 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einer 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Luther-Serie (2017): </w:t>
            </w:r>
            <w:hyperlink r:id="rId7" w:history="1">
              <w:r w:rsidR="003C11B2" w:rsidRPr="004B4123">
                <w:rPr>
                  <w:rStyle w:val="Hyperlink"/>
                  <w:rFonts w:asciiTheme="minorHAnsi" w:eastAsiaTheme="minorHAnsi" w:hAnsiTheme="minorHAnsi" w:cstheme="minorHAnsi"/>
                  <w:kern w:val="0"/>
                  <w:sz w:val="20"/>
                  <w:lang w:eastAsia="en-US"/>
                </w:rPr>
                <w:t>https://www.mdr.de/reformation500/weihnachtsserie-martin-luther-und-weihnachten-refjahr-100.html</w:t>
              </w:r>
            </w:hyperlink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(Datum des letzten Zugriffs: 17.01.2020)</w:t>
            </w:r>
          </w:p>
          <w:p w:rsidR="0077123C" w:rsidRPr="00C663EA" w:rsidRDefault="0077123C" w:rsidP="00C663EA">
            <w:pPr>
              <w:pStyle w:val="Listenabsatz"/>
              <w:numPr>
                <w:ilvl w:val="0"/>
                <w:numId w:val="20"/>
              </w:numPr>
              <w:suppressAutoHyphens w:val="0"/>
              <w:spacing w:before="120" w:after="120" w:line="276" w:lineRule="auto"/>
              <w:ind w:left="357" w:hanging="357"/>
              <w:contextualSpacing w:val="0"/>
              <w:jc w:val="left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Auszüge aus: Venzke, Andreas: Lu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ther und die Macht des Wortes, Würzburg 2007</w:t>
            </w:r>
          </w:p>
          <w:p w:rsidR="009B5061" w:rsidRPr="00C663EA" w:rsidRDefault="009B5061" w:rsidP="00C663EA">
            <w:pPr>
              <w:suppressAutoHyphens w:val="0"/>
              <w:jc w:val="left"/>
              <w:rPr>
                <w:rFonts w:asciiTheme="minorHAnsi" w:eastAsiaTheme="minorHAnsi" w:hAnsiTheme="minorHAnsi" w:cstheme="minorHAnsi"/>
                <w:b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kern w:val="0"/>
                <w:sz w:val="20"/>
                <w:lang w:eastAsia="en-US"/>
              </w:rPr>
              <w:t>Literaturhinweise:</w:t>
            </w:r>
          </w:p>
          <w:p w:rsidR="009B5061" w:rsidRPr="00C663EA" w:rsidRDefault="009B5061" w:rsidP="00C663EA">
            <w:pPr>
              <w:suppressAutoHyphens w:val="0"/>
              <w:spacing w:before="60" w:after="120" w:line="276" w:lineRule="auto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proofErr w:type="spellStart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Michalke</w:t>
            </w:r>
            <w:proofErr w:type="spellEnd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-Leicht, 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Wolfgang/</w:t>
            </w:r>
            <w:proofErr w:type="spellStart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Sajak</w:t>
            </w:r>
            <w:proofErr w:type="spellEnd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, </w:t>
            </w:r>
            <w:r w:rsidR="0077123C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Clauß Peter: 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Brennpunkte der Kirchengeschichte. Paderborn 2015, Kapitel </w:t>
            </w:r>
            <w:r w:rsidR="00B046B3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16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: </w:t>
            </w:r>
            <w:r w:rsidR="00B046B3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Reformation und Konfessionalisierung</w:t>
            </w:r>
          </w:p>
          <w:p w:rsidR="009B5061" w:rsidRPr="00C663EA" w:rsidRDefault="009B5061" w:rsidP="00C663EA">
            <w:pPr>
              <w:suppressAutoHyphens w:val="0"/>
              <w:spacing w:before="120" w:after="120" w:line="276" w:lineRule="auto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proofErr w:type="spellStart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Kaldewey</w:t>
            </w:r>
            <w:proofErr w:type="spellEnd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, 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Rüdiger/</w:t>
            </w:r>
            <w:proofErr w:type="spellStart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Wener</w:t>
            </w:r>
            <w:proofErr w:type="spellEnd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, </w:t>
            </w:r>
            <w:r w:rsidR="0077123C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Aloys: 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Das Christentum. Geschichte – Politik – Kultur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,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Düsseldorf 2004, Kap.: </w:t>
            </w:r>
            <w:r w:rsidR="00B046B3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Verlorene Einheit – gewonnene Vielfalt: Die Reformation)</w:t>
            </w:r>
          </w:p>
          <w:p w:rsidR="00C5764E" w:rsidRPr="00C663EA" w:rsidRDefault="00C5764E" w:rsidP="00C663EA">
            <w:pPr>
              <w:suppressAutoHyphens w:val="0"/>
              <w:spacing w:before="120" w:after="120" w:line="276" w:lineRule="auto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proofErr w:type="spellStart"/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Steinwede</w:t>
            </w:r>
            <w:proofErr w:type="spellEnd"/>
            <w:r w:rsidR="0077123C"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, Dietrich: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Martin Luther. L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eben und Wirken des Reformators,</w:t>
            </w: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Düsseldorf 2006</w:t>
            </w:r>
          </w:p>
          <w:p w:rsidR="009B5061" w:rsidRPr="00C663EA" w:rsidRDefault="009B5061" w:rsidP="00C663EA">
            <w:pPr>
              <w:suppressAutoHyphens w:val="0"/>
              <w:spacing w:before="120" w:after="120" w:line="276" w:lineRule="auto"/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Luther 1917 bis heute. Katalog zur Sonderausstellu</w:t>
            </w:r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ng der Stiftung Kloster </w:t>
            </w:r>
            <w:proofErr w:type="spellStart"/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Dalheim</w:t>
            </w:r>
            <w:proofErr w:type="spellEnd"/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, Kloster </w:t>
            </w:r>
            <w:proofErr w:type="spellStart"/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>Dalheim</w:t>
            </w:r>
            <w:proofErr w:type="spellEnd"/>
            <w:r w:rsidR="003C11B2">
              <w:rPr>
                <w:rFonts w:asciiTheme="minorHAnsi" w:eastAsiaTheme="minorHAnsi" w:hAnsiTheme="minorHAnsi" w:cstheme="minorHAnsi"/>
                <w:kern w:val="0"/>
                <w:sz w:val="20"/>
                <w:lang w:eastAsia="en-US"/>
              </w:rPr>
              <w:t xml:space="preserve"> 2016</w:t>
            </w:r>
          </w:p>
          <w:p w:rsidR="00793343" w:rsidRDefault="009B5061" w:rsidP="00090C39">
            <w:pPr>
              <w:suppressAutoHyphens w:val="0"/>
              <w:spacing w:before="60" w:after="120" w:line="276" w:lineRule="auto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</w:pPr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>Hinweise</w:t>
            </w:r>
            <w:r w:rsid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 xml:space="preserve"> auf außerschulische Lernorte: --- /</w:t>
            </w:r>
          </w:p>
          <w:p w:rsidR="009B5061" w:rsidRPr="00C663EA" w:rsidRDefault="00C663EA" w:rsidP="00090C39">
            <w:pPr>
              <w:suppressAutoHyphens w:val="0"/>
              <w:spacing w:before="60" w:after="120" w:line="276" w:lineRule="auto"/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</w:pPr>
            <w:bookmarkStart w:id="0" w:name="_GoBack"/>
            <w:bookmarkEnd w:id="0"/>
            <w:r w:rsidRPr="00C663EA">
              <w:rPr>
                <w:rFonts w:asciiTheme="minorHAnsi" w:eastAsiaTheme="minorHAnsi" w:hAnsiTheme="minorHAnsi" w:cstheme="minorHAnsi"/>
                <w:b/>
                <w:color w:val="000000" w:themeColor="text1"/>
                <w:kern w:val="0"/>
                <w:sz w:val="20"/>
                <w:lang w:eastAsia="en-US"/>
              </w:rPr>
              <w:t xml:space="preserve">Kooperationen: </w:t>
            </w:r>
            <w:r w:rsidRPr="00C663EA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0"/>
                <w:lang w:eastAsia="en-US"/>
              </w:rPr>
              <w:t>ggf. mit dem Fach Geschichte</w:t>
            </w:r>
          </w:p>
        </w:tc>
      </w:tr>
    </w:tbl>
    <w:p w:rsidR="00D92057" w:rsidRPr="00C663EA" w:rsidRDefault="00D92057" w:rsidP="00C663EA">
      <w:pPr>
        <w:suppressAutoHyphens w:val="0"/>
        <w:spacing w:line="276" w:lineRule="auto"/>
        <w:jc w:val="left"/>
        <w:rPr>
          <w:rFonts w:asciiTheme="minorHAnsi" w:eastAsiaTheme="minorHAnsi" w:hAnsiTheme="minorHAnsi" w:cstheme="minorHAnsi"/>
          <w:kern w:val="0"/>
          <w:sz w:val="20"/>
          <w:lang w:eastAsia="en-US"/>
        </w:rPr>
      </w:pPr>
    </w:p>
    <w:sectPr w:rsidR="00D92057" w:rsidRPr="00C663EA" w:rsidSect="00C663EA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A9" w:rsidRDefault="00B033A9" w:rsidP="00B033A9">
      <w:r>
        <w:separator/>
      </w:r>
    </w:p>
  </w:endnote>
  <w:endnote w:type="continuationSeparator" w:id="0">
    <w:p w:rsidR="00B033A9" w:rsidRDefault="00B033A9" w:rsidP="00B0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2926"/>
      <w:docPartObj>
        <w:docPartGallery w:val="Page Numbers (Bottom of Page)"/>
        <w:docPartUnique/>
      </w:docPartObj>
    </w:sdtPr>
    <w:sdtEndPr/>
    <w:sdtContent>
      <w:p w:rsidR="00B033A9" w:rsidRDefault="00B033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43">
          <w:rPr>
            <w:noProof/>
          </w:rPr>
          <w:t>2</w:t>
        </w:r>
        <w:r>
          <w:fldChar w:fldCharType="end"/>
        </w:r>
      </w:p>
    </w:sdtContent>
  </w:sdt>
  <w:p w:rsidR="00B033A9" w:rsidRDefault="00B033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A9" w:rsidRDefault="00B033A9" w:rsidP="00B033A9">
      <w:r>
        <w:separator/>
      </w:r>
    </w:p>
  </w:footnote>
  <w:footnote w:type="continuationSeparator" w:id="0">
    <w:p w:rsidR="00B033A9" w:rsidRDefault="00B033A9" w:rsidP="00B0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E03"/>
    <w:multiLevelType w:val="hybridMultilevel"/>
    <w:tmpl w:val="538A671C"/>
    <w:lvl w:ilvl="0" w:tplc="F81CF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A81"/>
    <w:multiLevelType w:val="hybridMultilevel"/>
    <w:tmpl w:val="86BC8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F087A"/>
    <w:multiLevelType w:val="hybridMultilevel"/>
    <w:tmpl w:val="C97AE9C6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860E5"/>
    <w:multiLevelType w:val="hybridMultilevel"/>
    <w:tmpl w:val="E73A3292"/>
    <w:lvl w:ilvl="0" w:tplc="B5061D22">
      <w:numFmt w:val="bullet"/>
      <w:lvlText w:val=""/>
      <w:lvlJc w:val="left"/>
      <w:pPr>
        <w:ind w:left="4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 w15:restartNumberingAfterBreak="0">
    <w:nsid w:val="1F152825"/>
    <w:multiLevelType w:val="hybridMultilevel"/>
    <w:tmpl w:val="7BAA98E2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0014D"/>
    <w:multiLevelType w:val="hybridMultilevel"/>
    <w:tmpl w:val="0FA6A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D68A1"/>
    <w:multiLevelType w:val="hybridMultilevel"/>
    <w:tmpl w:val="5F9EA520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B35AA"/>
    <w:multiLevelType w:val="hybridMultilevel"/>
    <w:tmpl w:val="E952A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17B67"/>
    <w:multiLevelType w:val="hybridMultilevel"/>
    <w:tmpl w:val="7D9EB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D531C"/>
    <w:multiLevelType w:val="hybridMultilevel"/>
    <w:tmpl w:val="BEBE1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4D2C"/>
    <w:multiLevelType w:val="hybridMultilevel"/>
    <w:tmpl w:val="C5249C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C0E90"/>
    <w:multiLevelType w:val="hybridMultilevel"/>
    <w:tmpl w:val="C60C3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21AF"/>
    <w:multiLevelType w:val="hybridMultilevel"/>
    <w:tmpl w:val="EE3ADE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604E"/>
    <w:multiLevelType w:val="hybridMultilevel"/>
    <w:tmpl w:val="B6B81F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67905"/>
    <w:multiLevelType w:val="hybridMultilevel"/>
    <w:tmpl w:val="C5CCA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20FE1"/>
    <w:multiLevelType w:val="hybridMultilevel"/>
    <w:tmpl w:val="D2A23C2A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43329B"/>
    <w:multiLevelType w:val="hybridMultilevel"/>
    <w:tmpl w:val="E2C071A6"/>
    <w:lvl w:ilvl="0" w:tplc="2842D4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787D38"/>
    <w:multiLevelType w:val="hybridMultilevel"/>
    <w:tmpl w:val="3B92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1719D"/>
    <w:multiLevelType w:val="hybridMultilevel"/>
    <w:tmpl w:val="E6DC490C"/>
    <w:lvl w:ilvl="0" w:tplc="0407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5A6F"/>
    <w:multiLevelType w:val="hybridMultilevel"/>
    <w:tmpl w:val="38F6BA6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501B9"/>
    <w:multiLevelType w:val="hybridMultilevel"/>
    <w:tmpl w:val="9142311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20"/>
  </w:num>
  <w:num w:numId="8">
    <w:abstractNumId w:val="8"/>
  </w:num>
  <w:num w:numId="9">
    <w:abstractNumId w:val="10"/>
  </w:num>
  <w:num w:numId="10">
    <w:abstractNumId w:val="19"/>
  </w:num>
  <w:num w:numId="11">
    <w:abstractNumId w:val="18"/>
  </w:num>
  <w:num w:numId="12">
    <w:abstractNumId w:val="22"/>
  </w:num>
  <w:num w:numId="13">
    <w:abstractNumId w:val="16"/>
  </w:num>
  <w:num w:numId="14">
    <w:abstractNumId w:val="9"/>
  </w:num>
  <w:num w:numId="15">
    <w:abstractNumId w:val="21"/>
  </w:num>
  <w:num w:numId="16">
    <w:abstractNumId w:val="3"/>
  </w:num>
  <w:num w:numId="17">
    <w:abstractNumId w:val="2"/>
  </w:num>
  <w:num w:numId="18">
    <w:abstractNumId w:val="0"/>
  </w:num>
  <w:num w:numId="19">
    <w:abstractNumId w:val="12"/>
  </w:num>
  <w:num w:numId="20">
    <w:abstractNumId w:val="4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61"/>
    <w:rsid w:val="00090C39"/>
    <w:rsid w:val="001578A0"/>
    <w:rsid w:val="00297502"/>
    <w:rsid w:val="002E635B"/>
    <w:rsid w:val="00340DFA"/>
    <w:rsid w:val="003455FD"/>
    <w:rsid w:val="00363BE9"/>
    <w:rsid w:val="003C11B2"/>
    <w:rsid w:val="004D075E"/>
    <w:rsid w:val="00740D37"/>
    <w:rsid w:val="0077123C"/>
    <w:rsid w:val="00793343"/>
    <w:rsid w:val="009B5061"/>
    <w:rsid w:val="00AD61EF"/>
    <w:rsid w:val="00B033A9"/>
    <w:rsid w:val="00B046B3"/>
    <w:rsid w:val="00BA6798"/>
    <w:rsid w:val="00BC55DD"/>
    <w:rsid w:val="00C1036A"/>
    <w:rsid w:val="00C5764E"/>
    <w:rsid w:val="00C601B3"/>
    <w:rsid w:val="00C663EA"/>
    <w:rsid w:val="00D00618"/>
    <w:rsid w:val="00D92057"/>
    <w:rsid w:val="00E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5152"/>
  <w15:chartTrackingRefBased/>
  <w15:docId w15:val="{3B82A64A-DEF9-4734-8494-02468AE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061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0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12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12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033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3A9"/>
    <w:rPr>
      <w:rFonts w:ascii="Arial" w:eastAsia="Times New Roman" w:hAnsi="Arial" w:cs="Times New Roman"/>
      <w:kern w:val="1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33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3A9"/>
    <w:rPr>
      <w:rFonts w:ascii="Arial" w:eastAsia="Times New Roman" w:hAnsi="Arial" w:cs="Times New Roman"/>
      <w:kern w:val="1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C1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dr.de/reformation500/weihnachtsserie-martin-luther-und-weihnachten-refjahr-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32CD3239</Template>
  <TotalTime>0</TotalTime>
  <Pages>2</Pages>
  <Words>601</Words>
  <Characters>3792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2019-11-29T13:58:00Z</dcterms:created>
  <dcterms:modified xsi:type="dcterms:W3CDTF">2020-01-29T12:46:00Z</dcterms:modified>
</cp:coreProperties>
</file>