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0496" w14:textId="77777777" w:rsidR="00921628" w:rsidRDefault="00921628" w:rsidP="00921628">
      <w:pPr>
        <w:pStyle w:val="berschrift2"/>
        <w:numPr>
          <w:ilvl w:val="0"/>
          <w:numId w:val="0"/>
        </w:numPr>
        <w:spacing w:line="240" w:lineRule="auto"/>
        <w:jc w:val="both"/>
        <w:rPr>
          <w:rFonts w:ascii="Calibri" w:hAnsi="Calibri"/>
          <w:b/>
          <w:color w:val="auto"/>
          <w:sz w:val="24"/>
          <w:szCs w:val="24"/>
        </w:rPr>
      </w:pPr>
      <w:r>
        <w:rPr>
          <w:rFonts w:ascii="Calibri" w:hAnsi="Calibri"/>
          <w:b/>
          <w:color w:val="auto"/>
          <w:sz w:val="28"/>
          <w:szCs w:val="24"/>
        </w:rPr>
        <w:t>BF/SB 7 – Fakultative Prüfungsleistung</w:t>
      </w:r>
      <w:r>
        <w:rPr>
          <w:rStyle w:val="Funotenzeichen"/>
          <w:rFonts w:ascii="Calibri" w:hAnsi="Calibri"/>
          <w:b/>
          <w:color w:val="auto"/>
          <w:sz w:val="28"/>
          <w:szCs w:val="28"/>
        </w:rPr>
        <w:footnoteReference w:id="1"/>
      </w:r>
      <w:r>
        <w:rPr>
          <w:rFonts w:ascii="Calibri" w:hAnsi="Calibri"/>
          <w:b/>
          <w:color w:val="auto"/>
          <w:sz w:val="28"/>
          <w:szCs w:val="24"/>
        </w:rPr>
        <w:t>: Badminton</w:t>
      </w:r>
    </w:p>
    <w:p w14:paraId="73D4A7A9" w14:textId="77777777" w:rsidR="00921628" w:rsidRDefault="00921628" w:rsidP="00921628">
      <w:pPr>
        <w:tabs>
          <w:tab w:val="left" w:pos="1701"/>
        </w:tabs>
        <w:spacing w:before="120" w:after="0" w:line="240" w:lineRule="auto"/>
        <w:rPr>
          <w:rFonts w:cs="Arial"/>
        </w:rPr>
      </w:pPr>
      <w:r>
        <w:rPr>
          <w:rFonts w:cs="Arial"/>
        </w:rPr>
        <w:t xml:space="preserve">Die Überprüfung der fakultativen Leistung umfasst </w:t>
      </w:r>
      <w:r>
        <w:rPr>
          <w:rFonts w:cs="Arial"/>
          <w:b/>
        </w:rPr>
        <w:t>zwei Prüfungsteile</w:t>
      </w:r>
      <w:r>
        <w:rPr>
          <w:rFonts w:cs="Arial"/>
        </w:rPr>
        <w:t xml:space="preserve">. Dabei haben beide Prüfungsteile gleiches Gewicht. Die Spielformen werden von der Prüferin oder dem Prüfer in Abstimmung mit der Fachkonferenz auf der Grundlage der Inhalte und Gegenstände des Kursprofils in der Qualifikationsphase festgelegt. Der Beobachtungszeitraum muss so bemessen sein, dass eine gesicherte Bewertung möglich ist. Dabei ist die Spielzeit auch von der Anzahl der Prüflinge abhängig. </w:t>
      </w:r>
    </w:p>
    <w:p w14:paraId="4030EEF0" w14:textId="77777777" w:rsidR="00921628" w:rsidRDefault="00921628" w:rsidP="00921628">
      <w:pPr>
        <w:tabs>
          <w:tab w:val="left" w:pos="1701"/>
        </w:tabs>
        <w:spacing w:after="0" w:line="240" w:lineRule="auto"/>
        <w:jc w:val="both"/>
        <w:rPr>
          <w:rFonts w:cs="Arial"/>
        </w:rPr>
      </w:pPr>
      <w:r>
        <w:rPr>
          <w:rFonts w:cs="Arial"/>
        </w:rPr>
        <w:t xml:space="preserve">Der erste Prüfungsteil besteht aus einer vorgegebenen einfachen </w:t>
      </w:r>
      <w:r>
        <w:rPr>
          <w:rFonts w:cs="Arial"/>
          <w:b/>
        </w:rPr>
        <w:t>Spielform miteinander im Einzel</w:t>
      </w:r>
      <w:r>
        <w:rPr>
          <w:rFonts w:cs="Arial"/>
        </w:rPr>
        <w:t xml:space="preserve"> einschließlich der hierzu erforderlichen individuellen technisch-koordinativen Fertigkeiten. </w:t>
      </w:r>
    </w:p>
    <w:p w14:paraId="304B406F" w14:textId="77777777" w:rsidR="00921628" w:rsidRDefault="00921628" w:rsidP="00921628">
      <w:pPr>
        <w:tabs>
          <w:tab w:val="left" w:pos="1701"/>
        </w:tabs>
        <w:spacing w:after="0" w:line="240" w:lineRule="auto"/>
        <w:jc w:val="both"/>
        <w:rPr>
          <w:rFonts w:cs="Arial"/>
        </w:rPr>
      </w:pPr>
      <w:r>
        <w:rPr>
          <w:rFonts w:cs="Arial"/>
        </w:rPr>
        <w:t xml:space="preserve">Der zweite Prüfungsteil besteht aus einer vorgegebenen </w:t>
      </w:r>
      <w:r>
        <w:rPr>
          <w:rFonts w:cs="Arial"/>
          <w:b/>
        </w:rPr>
        <w:t xml:space="preserve">komplexen, vom Miteinander zum Gegeneinander aufgebauten Spielform im Einzel </w:t>
      </w:r>
      <w:r>
        <w:rPr>
          <w:rFonts w:cs="Arial"/>
          <w:b/>
          <w:u w:val="single"/>
        </w:rPr>
        <w:t>und</w:t>
      </w:r>
      <w:r>
        <w:rPr>
          <w:rFonts w:cs="Arial"/>
          <w:b/>
        </w:rPr>
        <w:t xml:space="preserve"> im Doppel</w:t>
      </w:r>
      <w:r>
        <w:rPr>
          <w:rFonts w:cs="Arial"/>
        </w:rPr>
        <w:t xml:space="preserve">, in der technisch-koordinative Fertigkeiten sowie individual- und gruppentaktisch-kognitive Fähigkeiten auch unter Druckbedingungen präsentiert werden. </w:t>
      </w:r>
    </w:p>
    <w:p w14:paraId="51F3B498" w14:textId="77777777" w:rsidR="00921628" w:rsidRDefault="00921628" w:rsidP="00921628">
      <w:pPr>
        <w:tabs>
          <w:tab w:val="left" w:pos="1701"/>
        </w:tabs>
        <w:spacing w:after="0" w:line="240" w:lineRule="auto"/>
        <w:rPr>
          <w:rFonts w:cs="Arial"/>
        </w:rPr>
      </w:pPr>
      <w:r>
        <w:rPr>
          <w:rFonts w:cs="Arial"/>
        </w:rPr>
        <w:t xml:space="preserve">Beide Prüfungsteile beinhalten zusammen mind. 3 verschiedene Schlagarten (z. B. Clear, Smash, Drop), verschiedene Unterhand- und Überkopfschläge, beide Treffseiten (Vorhand, Rückhand) sowie verschiedene Schlagrichtungen (z.B. longline, </w:t>
      </w:r>
      <w:proofErr w:type="spellStart"/>
      <w:r>
        <w:rPr>
          <w:rFonts w:cs="Arial"/>
        </w:rPr>
        <w:t>cross</w:t>
      </w:r>
      <w:proofErr w:type="spellEnd"/>
      <w:r>
        <w:rPr>
          <w:rFonts w:cs="Arial"/>
        </w:rPr>
        <w:t>) und mind. 2 verschiedene Drucksituationen für jeden Prüfling.</w:t>
      </w:r>
    </w:p>
    <w:p w14:paraId="7175BEB9" w14:textId="661CF5D5" w:rsidR="00E9499C" w:rsidRDefault="00921628" w:rsidP="00940999">
      <w:pPr>
        <w:spacing w:before="240" w:after="120" w:line="240" w:lineRule="auto"/>
        <w:rPr>
          <w:rFonts w:eastAsia="Times New Roman" w:cs="Arial"/>
          <w:b/>
          <w:sz w:val="24"/>
          <w:szCs w:val="24"/>
        </w:rPr>
      </w:pPr>
      <w:r>
        <w:rPr>
          <w:rFonts w:eastAsia="Times New Roman" w:cs="Arial"/>
          <w:b/>
          <w:sz w:val="24"/>
          <w:szCs w:val="24"/>
        </w:rPr>
        <w:t>Erster Prüfungsteil (miteinander im Einzel)</w:t>
      </w:r>
    </w:p>
    <w:tbl>
      <w:tblPr>
        <w:tblStyle w:val="Tabellenraster"/>
        <w:tblW w:w="0" w:type="auto"/>
        <w:tblLook w:val="04A0" w:firstRow="1" w:lastRow="0" w:firstColumn="1" w:lastColumn="0" w:noHBand="0" w:noVBand="1"/>
      </w:tblPr>
      <w:tblGrid>
        <w:gridCol w:w="9628"/>
      </w:tblGrid>
      <w:tr w:rsidR="00E9499C" w14:paraId="3C9F4970" w14:textId="77777777" w:rsidTr="00E9499C">
        <w:tc>
          <w:tcPr>
            <w:tcW w:w="9628" w:type="dxa"/>
          </w:tcPr>
          <w:p w14:paraId="6856C984" w14:textId="195879AE" w:rsidR="00E9499C" w:rsidRDefault="00E9499C" w:rsidP="00E9499C">
            <w:pPr>
              <w:rPr>
                <w:b/>
              </w:rPr>
            </w:pPr>
            <w:r>
              <w:rPr>
                <w:b/>
              </w:rPr>
              <w:t>Spielform: „</w:t>
            </w:r>
            <w:r w:rsidR="00940999">
              <w:rPr>
                <w:b/>
              </w:rPr>
              <w:t>On Command</w:t>
            </w:r>
            <w:r>
              <w:rPr>
                <w:b/>
              </w:rPr>
              <w:t>“</w:t>
            </w:r>
          </w:p>
          <w:p w14:paraId="16D2AF94" w14:textId="113E769D" w:rsidR="008E67E1" w:rsidRDefault="008E67E1" w:rsidP="00E9499C">
            <w:pPr>
              <w:rPr>
                <w:bCs/>
              </w:rPr>
            </w:pPr>
            <w:r>
              <w:rPr>
                <w:bCs/>
              </w:rPr>
              <w:t xml:space="preserve">Zwei Spieler spielen im Einzel miteinander, d.h. sie versuchen den Ball </w:t>
            </w:r>
            <w:r w:rsidR="00BB4E90">
              <w:rPr>
                <w:bCs/>
              </w:rPr>
              <w:t xml:space="preserve">unter Verwendung fachlich korrekter Schlagtechniken </w:t>
            </w:r>
            <w:r>
              <w:rPr>
                <w:bCs/>
              </w:rPr>
              <w:t>kontinuierlich im Spiel zu halten, ohne dass die Rally unterbrochen wird. Auf Kommando eines Übungsleiters werden folgende Vorgaben erteilt:</w:t>
            </w:r>
          </w:p>
          <w:p w14:paraId="5FB288CA" w14:textId="77777777" w:rsidR="008E67E1" w:rsidRDefault="008E67E1" w:rsidP="00E9499C">
            <w:pPr>
              <w:rPr>
                <w:bCs/>
              </w:rPr>
            </w:pPr>
            <w:r>
              <w:rPr>
                <w:bCs/>
              </w:rPr>
              <w:t>„Hand“: ein Spieler spielt konstant mit der Vor-, der andere mit der Rückhand (ÜK+UH)</w:t>
            </w:r>
          </w:p>
          <w:p w14:paraId="7CEBF185" w14:textId="01AAA6B2" w:rsidR="008E67E1" w:rsidRDefault="008E67E1" w:rsidP="00E9499C">
            <w:pPr>
              <w:rPr>
                <w:bCs/>
              </w:rPr>
            </w:pPr>
            <w:r>
              <w:rPr>
                <w:bCs/>
              </w:rPr>
              <w:t>„</w:t>
            </w:r>
            <w:r w:rsidR="00CF1725">
              <w:rPr>
                <w:bCs/>
              </w:rPr>
              <w:t>Head“: ein Spieler spielt konstant Überkopf-Schlagtechniken, der andere Unterhandschlagtechniken</w:t>
            </w:r>
          </w:p>
          <w:p w14:paraId="7753411B" w14:textId="529608EA" w:rsidR="00CF1725" w:rsidRDefault="00CF1725" w:rsidP="00E9499C">
            <w:pPr>
              <w:rPr>
                <w:bCs/>
              </w:rPr>
            </w:pPr>
            <w:r>
              <w:rPr>
                <w:bCs/>
              </w:rPr>
              <w:t>„</w:t>
            </w:r>
            <w:r w:rsidR="00940999">
              <w:rPr>
                <w:bCs/>
              </w:rPr>
              <w:t>Court</w:t>
            </w:r>
            <w:r>
              <w:rPr>
                <w:bCs/>
              </w:rPr>
              <w:t xml:space="preserve">“: </w:t>
            </w:r>
            <w:r w:rsidR="00940999">
              <w:rPr>
                <w:bCs/>
              </w:rPr>
              <w:t xml:space="preserve">ein Spieler spielt konstant </w:t>
            </w:r>
            <w:r>
              <w:rPr>
                <w:bCs/>
              </w:rPr>
              <w:t xml:space="preserve">Schläge schräg über den Court </w:t>
            </w:r>
            <w:r w:rsidR="00940999">
              <w:rPr>
                <w:bCs/>
              </w:rPr>
              <w:t>(</w:t>
            </w:r>
            <w:proofErr w:type="spellStart"/>
            <w:r w:rsidR="00940999">
              <w:rPr>
                <w:bCs/>
              </w:rPr>
              <w:t>cross</w:t>
            </w:r>
            <w:proofErr w:type="spellEnd"/>
            <w:r w:rsidR="00940999">
              <w:rPr>
                <w:bCs/>
              </w:rPr>
              <w:t>), der andere g</w:t>
            </w:r>
            <w:r>
              <w:rPr>
                <w:bCs/>
              </w:rPr>
              <w:t xml:space="preserve">erade Schläge an der Außenlinie entlang </w:t>
            </w:r>
            <w:r w:rsidR="00940999">
              <w:rPr>
                <w:bCs/>
              </w:rPr>
              <w:t>(longline)</w:t>
            </w:r>
          </w:p>
          <w:p w14:paraId="60E0CA74" w14:textId="301CFA80" w:rsidR="00940999" w:rsidRDefault="00940999" w:rsidP="00E9499C">
            <w:pPr>
              <w:rPr>
                <w:bCs/>
              </w:rPr>
            </w:pPr>
            <w:r>
              <w:rPr>
                <w:bCs/>
              </w:rPr>
              <w:t>„Switch“: Wechsel der Rollen innerhalb der jeweiligen Vorgabe</w:t>
            </w:r>
          </w:p>
          <w:p w14:paraId="1D0AA66C" w14:textId="4BE1AFB8" w:rsidR="00CF1725" w:rsidRPr="008E67E1" w:rsidRDefault="00CF1725" w:rsidP="00E9499C">
            <w:pPr>
              <w:rPr>
                <w:bCs/>
              </w:rPr>
            </w:pPr>
            <w:r>
              <w:rPr>
                <w:bCs/>
              </w:rPr>
              <w:t xml:space="preserve">„Kill“: die vorige Vorgabe wird gelöscht </w:t>
            </w:r>
            <w:r w:rsidRPr="00CF1725">
              <w:rPr>
                <w:bCs/>
              </w:rPr>
              <w:sym w:font="Wingdings" w:char="F0E0"/>
            </w:r>
            <w:r>
              <w:rPr>
                <w:bCs/>
              </w:rPr>
              <w:t xml:space="preserve"> freies Spiel </w:t>
            </w:r>
            <w:r w:rsidRPr="00940999">
              <w:rPr>
                <w:bCs/>
                <w:u w:val="single"/>
              </w:rPr>
              <w:t>miteinander</w:t>
            </w:r>
          </w:p>
        </w:tc>
      </w:tr>
    </w:tbl>
    <w:p w14:paraId="7BD0599D" w14:textId="77777777" w:rsidR="00921628" w:rsidRDefault="00921628" w:rsidP="00921628">
      <w:pPr>
        <w:pStyle w:val="Listenabsatz"/>
        <w:spacing w:before="120" w:after="0" w:line="240" w:lineRule="auto"/>
        <w:ind w:left="0" w:right="-142"/>
        <w:jc w:val="both"/>
        <w:rPr>
          <w:b/>
        </w:rPr>
      </w:pPr>
      <w:r>
        <w:rPr>
          <w:b/>
        </w:rPr>
        <w:t>Beobachtungsschwerpunkte</w:t>
      </w:r>
    </w:p>
    <w:p w14:paraId="030AE143" w14:textId="77777777" w:rsidR="00921628" w:rsidRDefault="00921628" w:rsidP="00921628">
      <w:pPr>
        <w:pStyle w:val="Listenabsatz"/>
        <w:numPr>
          <w:ilvl w:val="0"/>
          <w:numId w:val="2"/>
        </w:numPr>
        <w:spacing w:before="60" w:after="0" w:line="240" w:lineRule="auto"/>
        <w:ind w:left="425" w:right="-142" w:hanging="249"/>
      </w:pPr>
      <w:r>
        <w:t>Funktionale Anwendung der technisch-koordinativen badmintonspezifischen Fähigkeiten und Fertigkeiten in den Grundtechniken in einer vorgegebenen einfachen Spielform</w:t>
      </w:r>
    </w:p>
    <w:p w14:paraId="53707951" w14:textId="77777777" w:rsidR="00921628" w:rsidRDefault="00921628" w:rsidP="00921628">
      <w:pPr>
        <w:pStyle w:val="Listenabsatz"/>
        <w:numPr>
          <w:ilvl w:val="0"/>
          <w:numId w:val="2"/>
        </w:numPr>
        <w:spacing w:before="60" w:after="0" w:line="240" w:lineRule="auto"/>
        <w:ind w:left="425" w:right="-142" w:hanging="249"/>
      </w:pPr>
      <w:r>
        <w:t>Situationsgerechte Anwendung der technisch-koordinativen badmintonspezifischen Fähigkeiten und Fertigkeiten in einer vorgegebenen einfachen Spielform</w:t>
      </w:r>
    </w:p>
    <w:p w14:paraId="1CEAF830" w14:textId="77777777" w:rsidR="00921628" w:rsidRDefault="00921628" w:rsidP="00921628">
      <w:pPr>
        <w:pStyle w:val="Listenabsatz"/>
        <w:spacing w:before="120" w:after="60" w:line="240" w:lineRule="auto"/>
        <w:ind w:left="0" w:right="-142"/>
        <w:contextualSpacing w:val="0"/>
        <w:jc w:val="both"/>
        <w:rPr>
          <w:b/>
        </w:rPr>
      </w:pPr>
      <w:r>
        <w:rPr>
          <w:b/>
        </w:rPr>
        <w:t>Indikatoren</w:t>
      </w:r>
      <w:r>
        <w:rPr>
          <w:vertAlign w:val="superscript"/>
        </w:rPr>
        <w:footnoteReference w:id="2"/>
      </w:r>
      <w:r>
        <w:rPr>
          <w:vertAlign w:val="superscript"/>
        </w:rPr>
        <w:t>:</w:t>
      </w:r>
    </w:p>
    <w:p w14:paraId="7D401928" w14:textId="77777777" w:rsidR="00921628" w:rsidRDefault="00921628" w:rsidP="00921628">
      <w:pPr>
        <w:spacing w:after="0" w:line="240" w:lineRule="auto"/>
        <w:jc w:val="both"/>
      </w:pPr>
      <w:r>
        <w:t>Der Prüfling kann</w:t>
      </w:r>
    </w:p>
    <w:p w14:paraId="1F121DED" w14:textId="263EEC20" w:rsidR="00921628" w:rsidRDefault="00921628" w:rsidP="00921628">
      <w:pPr>
        <w:pStyle w:val="Listenabsatz"/>
        <w:numPr>
          <w:ilvl w:val="0"/>
          <w:numId w:val="2"/>
        </w:numPr>
        <w:spacing w:before="60" w:after="0" w:line="240" w:lineRule="auto"/>
        <w:ind w:left="425" w:right="-142" w:hanging="249"/>
      </w:pPr>
      <w:r>
        <w:t xml:space="preserve">ein positions- und situationsgerechtes Verhalten zeigen und </w:t>
      </w:r>
      <w:proofErr w:type="gramStart"/>
      <w:r>
        <w:t>aufrecht erhalten</w:t>
      </w:r>
      <w:proofErr w:type="gramEnd"/>
      <w:r>
        <w:t xml:space="preserve"> </w:t>
      </w:r>
    </w:p>
    <w:p w14:paraId="1512D375" w14:textId="448DB64D" w:rsidR="00921628" w:rsidRDefault="00921628" w:rsidP="00921628">
      <w:pPr>
        <w:pStyle w:val="Listenabsatz"/>
        <w:numPr>
          <w:ilvl w:val="0"/>
          <w:numId w:val="2"/>
        </w:numPr>
        <w:spacing w:before="120" w:after="0" w:line="240" w:lineRule="auto"/>
        <w:ind w:left="426" w:right="-142" w:hanging="250"/>
      </w:pPr>
      <w:r>
        <w:t>verschiedene Schlagarten mit unterschiedlichen Treffbereichen und Schlagrichtungen funktional anwenden.</w:t>
      </w:r>
    </w:p>
    <w:p w14:paraId="0E46F87D" w14:textId="0B9773F4" w:rsidR="00921628" w:rsidRDefault="00921628" w:rsidP="00921628">
      <w:pPr>
        <w:pStyle w:val="Listenabsatz"/>
        <w:numPr>
          <w:ilvl w:val="0"/>
          <w:numId w:val="2"/>
        </w:numPr>
        <w:spacing w:before="120" w:after="0" w:line="240" w:lineRule="auto"/>
        <w:ind w:left="426" w:right="-142" w:hanging="250"/>
      </w:pPr>
      <w:r>
        <w:t>verschiedene Schlagarten mit unterschiedlichen Treffbereichen und Schlagrichtungen sicher und zielfeldorientiert anwenden.</w:t>
      </w:r>
    </w:p>
    <w:p w14:paraId="53B783BD" w14:textId="654D3C7A" w:rsidR="00921628" w:rsidRDefault="00921628" w:rsidP="00921628">
      <w:pPr>
        <w:pStyle w:val="Listenabsatz"/>
        <w:spacing w:before="120" w:after="60" w:line="240" w:lineRule="auto"/>
        <w:ind w:left="0" w:right="-142"/>
        <w:contextualSpacing w:val="0"/>
        <w:jc w:val="both"/>
        <w:rPr>
          <w:b/>
        </w:rPr>
      </w:pPr>
      <w:r>
        <w:rPr>
          <w:b/>
        </w:rPr>
        <w:t>Leistungsbewertung</w:t>
      </w:r>
    </w:p>
    <w:tbl>
      <w:tblPr>
        <w:tblStyle w:val="Tabellenraster"/>
        <w:tblW w:w="9778" w:type="dxa"/>
        <w:tblCellMar>
          <w:top w:w="57" w:type="dxa"/>
          <w:bottom w:w="57" w:type="dxa"/>
        </w:tblCellMar>
        <w:tblLook w:val="04A0" w:firstRow="1" w:lastRow="0" w:firstColumn="1" w:lastColumn="0" w:noHBand="0" w:noVBand="1"/>
      </w:tblPr>
      <w:tblGrid>
        <w:gridCol w:w="4889"/>
        <w:gridCol w:w="4889"/>
      </w:tblGrid>
      <w:tr w:rsidR="00921628" w14:paraId="568BEC41" w14:textId="77777777" w:rsidTr="00AA7D60">
        <w:tc>
          <w:tcPr>
            <w:tcW w:w="4889" w:type="dxa"/>
            <w:tcBorders>
              <w:top w:val="single" w:sz="4" w:space="0" w:color="auto"/>
              <w:left w:val="single" w:sz="4" w:space="0" w:color="auto"/>
              <w:bottom w:val="single" w:sz="4" w:space="0" w:color="auto"/>
              <w:right w:val="single" w:sz="4" w:space="0" w:color="auto"/>
            </w:tcBorders>
            <w:hideMark/>
          </w:tcPr>
          <w:p w14:paraId="4245C992" w14:textId="77777777" w:rsidR="00921628" w:rsidRDefault="00921628" w:rsidP="00AA7D60">
            <w:pPr>
              <w:pStyle w:val="Listenabsatz"/>
              <w:tabs>
                <w:tab w:val="left" w:pos="426"/>
              </w:tabs>
              <w:spacing w:before="40" w:after="120"/>
              <w:ind w:left="425" w:hanging="391"/>
              <w:rPr>
                <w:rFonts w:asciiTheme="minorHAnsi" w:hAnsiTheme="minorHAnsi"/>
                <w:b/>
                <w:i/>
              </w:rPr>
            </w:pPr>
            <w:r>
              <w:rPr>
                <w:b/>
                <w:i/>
              </w:rPr>
              <w:t>Gut</w:t>
            </w:r>
            <w:r>
              <w:rPr>
                <w:rFonts w:asciiTheme="minorHAnsi" w:hAnsiTheme="minorHAnsi"/>
                <w:b/>
                <w:i/>
              </w:rPr>
              <w:tab/>
            </w:r>
          </w:p>
          <w:p w14:paraId="0A52ACB3" w14:textId="77777777" w:rsidR="00921628" w:rsidRDefault="00921628" w:rsidP="00AA7D60">
            <w:pPr>
              <w:tabs>
                <w:tab w:val="left" w:pos="1701"/>
              </w:tabs>
              <w:spacing w:line="216" w:lineRule="auto"/>
              <w:rPr>
                <w:rFonts w:asciiTheme="minorHAnsi" w:hAnsiTheme="minorHAnsi"/>
              </w:rPr>
            </w:pPr>
            <w:r>
              <w:rPr>
                <w:rFonts w:asciiTheme="minorHAnsi" w:hAnsiTheme="minorHAnsi"/>
              </w:rPr>
              <w:t>Der Prüfling zeigt in den jeweiligen badmintonspezifischen grundlegenden Handlungssituationen nahezu durchgehend sichere, den Spielfluss fördernde technisch-koordinativen Fertigkeiten und Fähigkeiten, die dazu führen, den Ball im Spiel möglichst sicher und zielfeldorientiert zu platzieren.</w:t>
            </w:r>
          </w:p>
          <w:p w14:paraId="20B80D85" w14:textId="77777777" w:rsidR="00921628" w:rsidRDefault="00921628" w:rsidP="00AA7D60">
            <w:pPr>
              <w:tabs>
                <w:tab w:val="left" w:pos="1701"/>
              </w:tabs>
              <w:spacing w:line="216" w:lineRule="auto"/>
            </w:pPr>
            <w:r>
              <w:rPr>
                <w:rFonts w:asciiTheme="minorHAnsi" w:hAnsiTheme="minorHAnsi"/>
              </w:rPr>
              <w:t>Der Gesamteindruck der Bewegungshandlungen weist eine durchgehend hohe Bewegungsqualität (Bewegungsfluss, Bewegungskopplung, Bewegungspräzision) auf. Kleine technische Mängel oder leichte Unsicherheiten beeinträchtigen den ansonsten souveränen Gesamteindruck nicht.</w:t>
            </w:r>
          </w:p>
        </w:tc>
        <w:tc>
          <w:tcPr>
            <w:tcW w:w="4889" w:type="dxa"/>
            <w:tcBorders>
              <w:top w:val="single" w:sz="4" w:space="0" w:color="auto"/>
              <w:left w:val="single" w:sz="4" w:space="0" w:color="auto"/>
              <w:bottom w:val="single" w:sz="4" w:space="0" w:color="auto"/>
              <w:right w:val="single" w:sz="4" w:space="0" w:color="auto"/>
            </w:tcBorders>
            <w:hideMark/>
          </w:tcPr>
          <w:p w14:paraId="4FEB6D86" w14:textId="77777777" w:rsidR="00921628" w:rsidRDefault="00921628" w:rsidP="00AA7D60">
            <w:pPr>
              <w:pStyle w:val="Listenabsatz"/>
              <w:tabs>
                <w:tab w:val="left" w:pos="426"/>
              </w:tabs>
              <w:spacing w:before="40" w:after="120"/>
              <w:ind w:left="425" w:hanging="391"/>
              <w:rPr>
                <w:b/>
                <w:i/>
              </w:rPr>
            </w:pPr>
            <w:r>
              <w:rPr>
                <w:b/>
                <w:i/>
              </w:rPr>
              <w:t>Ausreichend</w:t>
            </w:r>
          </w:p>
          <w:p w14:paraId="15D58F17" w14:textId="77777777" w:rsidR="00921628" w:rsidRDefault="00921628" w:rsidP="00AA7D60">
            <w:pPr>
              <w:tabs>
                <w:tab w:val="left" w:pos="1701"/>
              </w:tabs>
              <w:spacing w:line="216" w:lineRule="auto"/>
              <w:rPr>
                <w:rFonts w:asciiTheme="minorHAnsi" w:hAnsiTheme="minorHAnsi"/>
              </w:rPr>
            </w:pPr>
            <w:r>
              <w:rPr>
                <w:rFonts w:asciiTheme="minorHAnsi" w:hAnsiTheme="minorHAnsi"/>
              </w:rPr>
              <w:t>Der Prüfling zeigt in den jeweiligen badmintonspezifischen grundlegenden Handlungssituationen nicht immer sichere, den Spielfluss fördernde technisch-koordinative Fertigkeiten und Fähigkeiten, die dazu führen, dass der Ball nicht immer sicher und zielfeldorientiert platziert werden kann.</w:t>
            </w:r>
          </w:p>
          <w:p w14:paraId="3CDF1DED" w14:textId="77777777" w:rsidR="00921628" w:rsidRDefault="00921628" w:rsidP="00AA7D60">
            <w:pPr>
              <w:tabs>
                <w:tab w:val="left" w:pos="1701"/>
              </w:tabs>
              <w:spacing w:line="216" w:lineRule="auto"/>
            </w:pPr>
            <w:r>
              <w:rPr>
                <w:rFonts w:asciiTheme="minorHAnsi" w:hAnsiTheme="minorHAnsi"/>
              </w:rPr>
              <w:t>Der Gesamteindruck der Bewegungshandlungen weist im Großen und Ganzen noch eine grundlegende Bewegungsqualität (Bewegungsrhythmus, Bewegungskopplung, Bewegungsdynamik, Bewegungspräzision, Bewegungsfluss) auf.</w:t>
            </w:r>
          </w:p>
        </w:tc>
      </w:tr>
    </w:tbl>
    <w:p w14:paraId="50F36DAD" w14:textId="77777777" w:rsidR="00921628" w:rsidRDefault="00921628" w:rsidP="00921628">
      <w:pPr>
        <w:spacing w:after="0" w:line="240" w:lineRule="auto"/>
        <w:rPr>
          <w:rFonts w:eastAsia="Times New Roman" w:cs="Arial"/>
          <w:b/>
          <w:sz w:val="28"/>
          <w:szCs w:val="24"/>
        </w:rPr>
        <w:sectPr w:rsidR="00921628">
          <w:footnotePr>
            <w:numRestart w:val="eachSect"/>
          </w:footnotePr>
          <w:pgSz w:w="11906" w:h="16838"/>
          <w:pgMar w:top="851" w:right="1134" w:bottom="709" w:left="1134" w:header="709" w:footer="709" w:gutter="0"/>
          <w:cols w:space="720"/>
        </w:sectPr>
      </w:pPr>
    </w:p>
    <w:p w14:paraId="25C36D8D" w14:textId="77777777" w:rsidR="00921628" w:rsidRDefault="00921628" w:rsidP="00921628">
      <w:pPr>
        <w:spacing w:line="216" w:lineRule="auto"/>
        <w:rPr>
          <w:rFonts w:eastAsia="Times New Roman" w:cs="Arial"/>
          <w:b/>
          <w:sz w:val="24"/>
          <w:szCs w:val="24"/>
        </w:rPr>
      </w:pPr>
      <w:r>
        <w:rPr>
          <w:rFonts w:eastAsia="Times New Roman" w:cs="Arial"/>
          <w:b/>
          <w:sz w:val="24"/>
          <w:szCs w:val="24"/>
        </w:rPr>
        <w:lastRenderedPageBreak/>
        <w:t xml:space="preserve">Zweiter Prüfungsteil (vom Miteinander zum Gegeneinander im Einzel </w:t>
      </w:r>
      <w:r>
        <w:rPr>
          <w:rFonts w:eastAsia="Times New Roman" w:cs="Arial"/>
          <w:b/>
          <w:sz w:val="24"/>
          <w:szCs w:val="24"/>
          <w:u w:val="single"/>
        </w:rPr>
        <w:t>und</w:t>
      </w:r>
      <w:r>
        <w:rPr>
          <w:rFonts w:eastAsia="Times New Roman" w:cs="Arial"/>
          <w:b/>
          <w:sz w:val="24"/>
          <w:szCs w:val="24"/>
        </w:rPr>
        <w:t xml:space="preserve"> Doppel)</w:t>
      </w:r>
    </w:p>
    <w:p w14:paraId="554E7CAF" w14:textId="090D561F" w:rsidR="00921628" w:rsidRDefault="00921628" w:rsidP="00921628">
      <w:pPr>
        <w:spacing w:before="120" w:after="60" w:line="216" w:lineRule="auto"/>
      </w:pPr>
      <w:proofErr w:type="spellStart"/>
      <w:r>
        <w:rPr>
          <w:b/>
          <w:lang w:val="en-US"/>
        </w:rPr>
        <w:t>Spielform</w:t>
      </w:r>
      <w:r w:rsidR="00E9499C">
        <w:rPr>
          <w:b/>
          <w:lang w:val="en-US"/>
        </w:rPr>
        <w:t>en</w:t>
      </w:r>
      <w:proofErr w:type="spellEnd"/>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90"/>
        <w:gridCol w:w="4890"/>
      </w:tblGrid>
      <w:tr w:rsidR="00921628" w14:paraId="2890E0A7" w14:textId="77777777" w:rsidTr="00921628">
        <w:trPr>
          <w:trHeight w:val="1902"/>
        </w:trPr>
        <w:tc>
          <w:tcPr>
            <w:tcW w:w="4890" w:type="dxa"/>
            <w:tcBorders>
              <w:top w:val="single" w:sz="4" w:space="0" w:color="auto"/>
              <w:left w:val="single" w:sz="4" w:space="0" w:color="auto"/>
              <w:bottom w:val="single" w:sz="4" w:space="0" w:color="auto"/>
              <w:right w:val="single" w:sz="4" w:space="0" w:color="auto"/>
            </w:tcBorders>
            <w:hideMark/>
          </w:tcPr>
          <w:p w14:paraId="4572CB37" w14:textId="221D893B" w:rsidR="00001694" w:rsidRPr="00EB7321" w:rsidRDefault="00921628" w:rsidP="00912B65">
            <w:pPr>
              <w:spacing w:after="40" w:line="216" w:lineRule="auto"/>
              <w:ind w:left="227" w:hanging="227"/>
              <w:rPr>
                <w:b/>
              </w:rPr>
            </w:pPr>
            <w:r w:rsidRPr="00EB7321">
              <w:rPr>
                <w:b/>
              </w:rPr>
              <w:t>Einzel</w:t>
            </w:r>
            <w:r w:rsidR="00912B65" w:rsidRPr="00EB7321">
              <w:rPr>
                <w:b/>
              </w:rPr>
              <w:t xml:space="preserve">: </w:t>
            </w:r>
            <w:r w:rsidR="00EB7321">
              <w:rPr>
                <w:b/>
              </w:rPr>
              <w:t>„</w:t>
            </w:r>
            <w:r w:rsidR="00001694" w:rsidRPr="00EB7321">
              <w:rPr>
                <w:b/>
                <w:sz w:val="20"/>
                <w:szCs w:val="20"/>
              </w:rPr>
              <w:t>Clear mit Netzduell</w:t>
            </w:r>
            <w:r w:rsidR="00E24A6C" w:rsidRPr="00EB7321">
              <w:rPr>
                <w:b/>
                <w:sz w:val="20"/>
                <w:szCs w:val="20"/>
              </w:rPr>
              <w:t>”</w:t>
            </w:r>
          </w:p>
          <w:p w14:paraId="4F2D94E9" w14:textId="7188155A" w:rsidR="00001694" w:rsidRPr="00912B65" w:rsidRDefault="00001694" w:rsidP="00001694">
            <w:pPr>
              <w:spacing w:after="40" w:line="216" w:lineRule="auto"/>
              <w:rPr>
                <w:bCs/>
                <w:sz w:val="20"/>
                <w:szCs w:val="20"/>
              </w:rPr>
            </w:pPr>
            <w:r w:rsidRPr="00912B65">
              <w:rPr>
                <w:bCs/>
                <w:sz w:val="20"/>
                <w:szCs w:val="20"/>
              </w:rPr>
              <w:t xml:space="preserve">Es wird mit einem langen, hohen Vorhand-Aufschlag gestartet. Danach spielen beide Spieler </w:t>
            </w:r>
            <w:r w:rsidR="00C13F73">
              <w:rPr>
                <w:bCs/>
                <w:sz w:val="20"/>
                <w:szCs w:val="20"/>
              </w:rPr>
              <w:t>eine Clear-Rally, bis ein</w:t>
            </w:r>
            <w:r w:rsidRPr="00912B65">
              <w:rPr>
                <w:bCs/>
                <w:sz w:val="20"/>
                <w:szCs w:val="20"/>
              </w:rPr>
              <w:t xml:space="preserve"> Spieler mit einem Drop das Netzduell einleite</w:t>
            </w:r>
            <w:r w:rsidR="00C13F73">
              <w:rPr>
                <w:bCs/>
                <w:sz w:val="20"/>
                <w:szCs w:val="20"/>
              </w:rPr>
              <w:t>t</w:t>
            </w:r>
            <w:r w:rsidRPr="00912B65">
              <w:rPr>
                <w:bCs/>
                <w:sz w:val="20"/>
                <w:szCs w:val="20"/>
              </w:rPr>
              <w:t xml:space="preserve">. Fortan darf bis zum erzielten Punkt nur noch am Netz (bis zur markierten Mitte des </w:t>
            </w:r>
            <w:r w:rsidR="00E9499C">
              <w:rPr>
                <w:bCs/>
                <w:sz w:val="20"/>
                <w:szCs w:val="20"/>
              </w:rPr>
              <w:t>Courts</w:t>
            </w:r>
            <w:r w:rsidRPr="00912B65">
              <w:rPr>
                <w:bCs/>
                <w:sz w:val="20"/>
                <w:szCs w:val="20"/>
              </w:rPr>
              <w:t>) mit entsprechenden Schlagtechniken gespielt werden.</w:t>
            </w:r>
            <w:r w:rsidR="00F70762">
              <w:rPr>
                <w:bCs/>
                <w:sz w:val="20"/>
                <w:szCs w:val="20"/>
              </w:rPr>
              <w:t xml:space="preserve"> Es darf immer nur derjenige Spieler mit einem Drop das Netzduell einleiten, der im vorigen Ballwechsel den Punkt verloren hat.</w:t>
            </w:r>
          </w:p>
          <w:p w14:paraId="3F1223D6" w14:textId="4FDFC1B0" w:rsidR="00001694" w:rsidRPr="00001694" w:rsidRDefault="00001694" w:rsidP="00001694">
            <w:pPr>
              <w:spacing w:after="40" w:line="216" w:lineRule="auto"/>
              <w:rPr>
                <w:bCs/>
              </w:rPr>
            </w:pPr>
            <w:r w:rsidRPr="00912B65">
              <w:rPr>
                <w:bCs/>
                <w:sz w:val="20"/>
                <w:szCs w:val="20"/>
              </w:rPr>
              <w:t>Es wird um Punkte gespielt. Fehler innerhalb der Clear-Rally werden mit drei Punkten für den Gegner bestraft</w:t>
            </w:r>
            <w:r w:rsidR="00E9499C">
              <w:rPr>
                <w:bCs/>
                <w:sz w:val="20"/>
                <w:szCs w:val="20"/>
              </w:rPr>
              <w:t>, e</w:t>
            </w:r>
            <w:r w:rsidR="00467021">
              <w:rPr>
                <w:bCs/>
                <w:sz w:val="20"/>
                <w:szCs w:val="20"/>
              </w:rPr>
              <w:t>benso Verstöße gegen die Clear-Rally durch das Schlagen eines Smashs.</w:t>
            </w:r>
            <w:r w:rsidRPr="00912B65">
              <w:rPr>
                <w:bCs/>
                <w:sz w:val="20"/>
                <w:szCs w:val="20"/>
              </w:rPr>
              <w:t xml:space="preserve"> Ansonsten gelten die offiziellen Regeln.</w:t>
            </w:r>
          </w:p>
        </w:tc>
        <w:tc>
          <w:tcPr>
            <w:tcW w:w="4891" w:type="dxa"/>
            <w:tcBorders>
              <w:top w:val="single" w:sz="4" w:space="0" w:color="auto"/>
              <w:left w:val="single" w:sz="4" w:space="0" w:color="auto"/>
              <w:bottom w:val="single" w:sz="4" w:space="0" w:color="auto"/>
              <w:right w:val="single" w:sz="4" w:space="0" w:color="auto"/>
            </w:tcBorders>
            <w:hideMark/>
          </w:tcPr>
          <w:p w14:paraId="3D53FBF6" w14:textId="20F89C94" w:rsidR="00465A5D" w:rsidRPr="00912B65" w:rsidRDefault="00921628" w:rsidP="00AA7D60">
            <w:pPr>
              <w:spacing w:after="20" w:line="216" w:lineRule="auto"/>
              <w:rPr>
                <w:b/>
              </w:rPr>
            </w:pPr>
            <w:r>
              <w:rPr>
                <w:b/>
              </w:rPr>
              <w:t>Doppel</w:t>
            </w:r>
            <w:r w:rsidR="00465A5D">
              <w:rPr>
                <w:b/>
              </w:rPr>
              <w:t>:</w:t>
            </w:r>
            <w:r w:rsidR="00912B65">
              <w:rPr>
                <w:b/>
              </w:rPr>
              <w:t xml:space="preserve"> </w:t>
            </w:r>
            <w:r w:rsidR="00465A5D" w:rsidRPr="00912B65">
              <w:rPr>
                <w:b/>
                <w:sz w:val="20"/>
                <w:szCs w:val="20"/>
              </w:rPr>
              <w:t>„</w:t>
            </w:r>
            <w:r w:rsidR="00770C5F">
              <w:rPr>
                <w:b/>
                <w:sz w:val="20"/>
                <w:szCs w:val="20"/>
              </w:rPr>
              <w:t>Auf 5 geht´s los</w:t>
            </w:r>
            <w:r w:rsidR="00704F31" w:rsidRPr="00912B65">
              <w:rPr>
                <w:b/>
                <w:sz w:val="20"/>
                <w:szCs w:val="20"/>
              </w:rPr>
              <w:t>!“</w:t>
            </w:r>
          </w:p>
          <w:p w14:paraId="35F58F8D" w14:textId="43714188" w:rsidR="00704F31" w:rsidRPr="00862032" w:rsidRDefault="00704F31" w:rsidP="00AA7D60">
            <w:pPr>
              <w:spacing w:after="20" w:line="216" w:lineRule="auto"/>
              <w:rPr>
                <w:bCs/>
                <w:sz w:val="20"/>
                <w:szCs w:val="20"/>
              </w:rPr>
            </w:pPr>
            <w:r w:rsidRPr="00912B65">
              <w:rPr>
                <w:bCs/>
                <w:sz w:val="20"/>
                <w:szCs w:val="20"/>
              </w:rPr>
              <w:t xml:space="preserve">Nach einer vorgegebenen Schlagfolge (A1 spielt einen hohen Aufschlag, B1 antwortet mit einem Clear, A2 </w:t>
            </w:r>
            <w:r w:rsidR="00156D72">
              <w:rPr>
                <w:bCs/>
                <w:sz w:val="20"/>
                <w:szCs w:val="20"/>
              </w:rPr>
              <w:t xml:space="preserve">ebenso, B2 </w:t>
            </w:r>
            <w:r w:rsidRPr="00912B65">
              <w:rPr>
                <w:bCs/>
                <w:sz w:val="20"/>
                <w:szCs w:val="20"/>
              </w:rPr>
              <w:t xml:space="preserve">antwortet wiederum mit einem Drop) ist das Spiel </w:t>
            </w:r>
            <w:r w:rsidR="00156D72">
              <w:rPr>
                <w:bCs/>
                <w:sz w:val="20"/>
                <w:szCs w:val="20"/>
              </w:rPr>
              <w:t>gegeneinander</w:t>
            </w:r>
            <w:r w:rsidR="00862032">
              <w:rPr>
                <w:bCs/>
                <w:sz w:val="20"/>
                <w:szCs w:val="20"/>
              </w:rPr>
              <w:t xml:space="preserve"> mit dem fünften Schlag</w:t>
            </w:r>
            <w:r w:rsidR="00156D72">
              <w:rPr>
                <w:bCs/>
                <w:sz w:val="20"/>
                <w:szCs w:val="20"/>
              </w:rPr>
              <w:t xml:space="preserve"> </w:t>
            </w:r>
            <w:r w:rsidRPr="00912B65">
              <w:rPr>
                <w:bCs/>
                <w:sz w:val="20"/>
                <w:szCs w:val="20"/>
              </w:rPr>
              <w:t>freigegeben</w:t>
            </w:r>
            <w:r w:rsidR="00156D72">
              <w:rPr>
                <w:bCs/>
                <w:sz w:val="20"/>
                <w:szCs w:val="20"/>
              </w:rPr>
              <w:t>. Der Aufschläger A1</w:t>
            </w:r>
            <w:r w:rsidRPr="00912B65">
              <w:rPr>
                <w:bCs/>
                <w:sz w:val="20"/>
                <w:szCs w:val="20"/>
              </w:rPr>
              <w:t xml:space="preserve"> kann</w:t>
            </w:r>
            <w:r w:rsidR="00156D72">
              <w:rPr>
                <w:bCs/>
                <w:sz w:val="20"/>
                <w:szCs w:val="20"/>
              </w:rPr>
              <w:t xml:space="preserve"> also</w:t>
            </w:r>
            <w:r w:rsidRPr="00912B65">
              <w:rPr>
                <w:bCs/>
                <w:sz w:val="20"/>
                <w:szCs w:val="20"/>
              </w:rPr>
              <w:t xml:space="preserve"> einen Schlag seiner Wahl folgen lassen. Es wird um Punkte gespielt. Verstöße gegen die (bzw. Fehler innerhalb der) vorgegebene</w:t>
            </w:r>
            <w:r w:rsidR="00001694" w:rsidRPr="00912B65">
              <w:rPr>
                <w:bCs/>
                <w:sz w:val="20"/>
                <w:szCs w:val="20"/>
              </w:rPr>
              <w:t>(n)</w:t>
            </w:r>
            <w:r w:rsidRPr="00912B65">
              <w:rPr>
                <w:bCs/>
                <w:sz w:val="20"/>
                <w:szCs w:val="20"/>
              </w:rPr>
              <w:t xml:space="preserve"> Schlagfolge werden mit drei Punkten für das gegnerische Team bestraft. Ansonsten gelten die offiziellen Regeln (auch bzgl. des Aufschlagrechts, wodurch auch ein Wechsel der Rollen innerhalb der vorgegebenen Schlagfolge gewährleistet wird).</w:t>
            </w:r>
          </w:p>
        </w:tc>
      </w:tr>
    </w:tbl>
    <w:p w14:paraId="590724A2" w14:textId="77777777" w:rsidR="00921628" w:rsidRPr="00912B65" w:rsidRDefault="00921628" w:rsidP="00921628">
      <w:pPr>
        <w:pStyle w:val="Listenabsatz"/>
        <w:spacing w:before="120" w:after="0" w:line="216" w:lineRule="auto"/>
        <w:ind w:left="0"/>
        <w:jc w:val="both"/>
        <w:rPr>
          <w:b/>
          <w:sz w:val="20"/>
          <w:szCs w:val="20"/>
        </w:rPr>
      </w:pPr>
      <w:r w:rsidRPr="00912B65">
        <w:rPr>
          <w:b/>
          <w:sz w:val="20"/>
          <w:szCs w:val="20"/>
        </w:rPr>
        <w:t>Beobachtungsschwerpunkte</w:t>
      </w:r>
    </w:p>
    <w:p w14:paraId="02153D03" w14:textId="77777777" w:rsidR="00921628" w:rsidRPr="00912B65" w:rsidRDefault="00921628" w:rsidP="00921628">
      <w:pPr>
        <w:pStyle w:val="Listenabsatz"/>
        <w:numPr>
          <w:ilvl w:val="0"/>
          <w:numId w:val="2"/>
        </w:numPr>
        <w:spacing w:before="20" w:after="0" w:line="216" w:lineRule="auto"/>
        <w:ind w:left="425" w:hanging="249"/>
        <w:rPr>
          <w:sz w:val="20"/>
          <w:szCs w:val="20"/>
        </w:rPr>
      </w:pPr>
      <w:r w:rsidRPr="00912B65">
        <w:rPr>
          <w:sz w:val="20"/>
          <w:szCs w:val="20"/>
        </w:rPr>
        <w:t>Funktionale Anwendung der technisch-koordinativen badmintonspezifischen Fähigkeiten und Fertigkeiten in den Grundtechniken in einer vorgegebenen komplexen Spielform</w:t>
      </w:r>
    </w:p>
    <w:p w14:paraId="03D24D9F"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Situationsgerechte Anwendung der technisch-koordinativen badmintonspezifischen Fähigkeiten und Fertigkeiten in einer vorgegebenen komplexen Spielform</w:t>
      </w:r>
    </w:p>
    <w:p w14:paraId="35F882B7"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 xml:space="preserve">Situationsgerechte Anwendung individual-sowie im Doppel gruppentaktisch-kognitiver Entscheidungen in einer vorgegebenen komplexen Spielform </w:t>
      </w:r>
    </w:p>
    <w:p w14:paraId="19BB688F"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Situationsgerechte Anwendung badmintonspezifischer psychischer Fähigkeiten in einer vorgegebenen komplexen Spielform</w:t>
      </w:r>
    </w:p>
    <w:p w14:paraId="45A70872" w14:textId="77777777" w:rsidR="00921628" w:rsidRPr="00912B65" w:rsidRDefault="00921628" w:rsidP="00921628">
      <w:pPr>
        <w:spacing w:before="100" w:after="60" w:line="216" w:lineRule="auto"/>
        <w:rPr>
          <w:b/>
          <w:sz w:val="20"/>
          <w:szCs w:val="20"/>
        </w:rPr>
      </w:pPr>
      <w:r w:rsidRPr="00912B65">
        <w:rPr>
          <w:b/>
          <w:sz w:val="20"/>
          <w:szCs w:val="20"/>
        </w:rPr>
        <w:t>Indikatoren</w:t>
      </w:r>
    </w:p>
    <w:p w14:paraId="33FBD6BB" w14:textId="77777777" w:rsidR="00921628" w:rsidRPr="00912B65" w:rsidRDefault="00921628" w:rsidP="00921628">
      <w:pPr>
        <w:spacing w:after="60" w:line="216" w:lineRule="auto"/>
        <w:rPr>
          <w:sz w:val="20"/>
          <w:szCs w:val="20"/>
        </w:rPr>
      </w:pPr>
      <w:r w:rsidRPr="00912B65">
        <w:rPr>
          <w:sz w:val="20"/>
          <w:szCs w:val="20"/>
        </w:rPr>
        <w:t>Der Prüfling kann</w:t>
      </w:r>
    </w:p>
    <w:p w14:paraId="5F698B30"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 xml:space="preserve">ein positions- und situationsgerechtes Verhalten (im Einzel: aktionsbereite Grundhaltung im Zentralbereich; im Doppel: Aufstellung nebeneinander oder hintereinander) zeigen und </w:t>
      </w:r>
      <w:proofErr w:type="gramStart"/>
      <w:r w:rsidRPr="00912B65">
        <w:rPr>
          <w:sz w:val="20"/>
          <w:szCs w:val="20"/>
        </w:rPr>
        <w:t>aufrecht erhalten</w:t>
      </w:r>
      <w:proofErr w:type="gramEnd"/>
      <w:r w:rsidRPr="00912B65">
        <w:rPr>
          <w:sz w:val="20"/>
          <w:szCs w:val="20"/>
        </w:rPr>
        <w:t xml:space="preserve">. </w:t>
      </w:r>
    </w:p>
    <w:p w14:paraId="6F0DA6AC"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ausgewählte Schlagtechniken aus versch. Positionen im Feld möglichst sicher und zielorientiert spielen.</w:t>
      </w:r>
    </w:p>
    <w:p w14:paraId="79C00672"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 xml:space="preserve">vorgegebene Individual- und Gruppentaktiken (Doppel) regelgerecht anwenden, um in der Offensive unterschiedliche Druckbedingungen (z. B. Präzisions-, Situations-, Komplexitäts-, Zeit, physischer/psychischer Belastungsdruck) aufbauen und in der Defensive auf unterschiedliche Druckbedingungen der Gegnerin bzw. des Gegners sachgerecht reagieren. </w:t>
      </w:r>
    </w:p>
    <w:p w14:paraId="56C44E41" w14:textId="77777777" w:rsidR="00921628" w:rsidRPr="00912B65" w:rsidRDefault="00921628" w:rsidP="00921628">
      <w:pPr>
        <w:pStyle w:val="Listenabsatz"/>
        <w:numPr>
          <w:ilvl w:val="0"/>
          <w:numId w:val="2"/>
        </w:numPr>
        <w:spacing w:before="20" w:after="0" w:line="216" w:lineRule="auto"/>
        <w:ind w:left="426" w:hanging="250"/>
        <w:rPr>
          <w:sz w:val="20"/>
          <w:szCs w:val="20"/>
        </w:rPr>
      </w:pPr>
      <w:r w:rsidRPr="00912B65">
        <w:rPr>
          <w:sz w:val="20"/>
          <w:szCs w:val="20"/>
        </w:rPr>
        <w:t>badmintonspezifische psychische Belastungen im Spiel erkennen und sachgerecht darauf reagieren (z. B. äußere/innere Ablenkung vermeiden, mit Anspannung/Nervosität sachgerecht umgehen sowie im Doppel Mitverantwortung übernehmen und mit dem Doppelpartner oder der Doppelpartnerin verbal zielorientiert im Spiel kommunizieren).</w:t>
      </w:r>
    </w:p>
    <w:p w14:paraId="0FCCE647" w14:textId="731457FE" w:rsidR="00921628" w:rsidRPr="00912B65" w:rsidRDefault="00921628" w:rsidP="00912B65">
      <w:pPr>
        <w:pStyle w:val="Listenabsatz"/>
        <w:numPr>
          <w:ilvl w:val="0"/>
          <w:numId w:val="2"/>
        </w:numPr>
        <w:spacing w:before="20" w:after="0" w:line="216" w:lineRule="auto"/>
        <w:ind w:left="426" w:hanging="250"/>
        <w:rPr>
          <w:sz w:val="20"/>
          <w:szCs w:val="20"/>
        </w:rPr>
      </w:pPr>
      <w:r w:rsidRPr="00912B65">
        <w:rPr>
          <w:sz w:val="20"/>
          <w:szCs w:val="20"/>
        </w:rPr>
        <w:t>motiviertes, sozial angemessenes und faires Verhalten zeigen.</w:t>
      </w:r>
    </w:p>
    <w:p w14:paraId="42AAE45F" w14:textId="77777777" w:rsidR="00921628" w:rsidRDefault="00921628" w:rsidP="00921628">
      <w:pPr>
        <w:spacing w:before="120" w:after="60" w:line="216" w:lineRule="auto"/>
      </w:pPr>
      <w:r>
        <w:rPr>
          <w:b/>
        </w:rPr>
        <w:t>Leistungsbewertung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817"/>
        <w:gridCol w:w="4817"/>
      </w:tblGrid>
      <w:tr w:rsidR="00921628" w14:paraId="301AA9AA" w14:textId="77777777" w:rsidTr="00AA7D60">
        <w:trPr>
          <w:trHeight w:val="221"/>
        </w:trPr>
        <w:tc>
          <w:tcPr>
            <w:tcW w:w="4817" w:type="dxa"/>
            <w:tcBorders>
              <w:top w:val="single" w:sz="4" w:space="0" w:color="auto"/>
              <w:left w:val="single" w:sz="4" w:space="0" w:color="auto"/>
              <w:bottom w:val="single" w:sz="4" w:space="0" w:color="auto"/>
              <w:right w:val="single" w:sz="4" w:space="0" w:color="auto"/>
            </w:tcBorders>
            <w:hideMark/>
          </w:tcPr>
          <w:p w14:paraId="3107DB4B" w14:textId="77777777" w:rsidR="00921628" w:rsidRDefault="00921628" w:rsidP="00AA7D60">
            <w:pPr>
              <w:spacing w:before="60" w:after="60" w:line="240" w:lineRule="auto"/>
              <w:jc w:val="both"/>
              <w:rPr>
                <w:rFonts w:cstheme="minorHAnsi"/>
                <w:b/>
                <w:i/>
                <w:sz w:val="20"/>
                <w:szCs w:val="20"/>
              </w:rPr>
            </w:pPr>
            <w:r>
              <w:rPr>
                <w:rFonts w:cstheme="minorHAnsi"/>
                <w:b/>
                <w:i/>
                <w:sz w:val="20"/>
                <w:szCs w:val="20"/>
              </w:rPr>
              <w:t>Gut</w:t>
            </w:r>
            <w:r>
              <w:rPr>
                <w:rFonts w:cstheme="minorHAnsi"/>
                <w:b/>
                <w:i/>
                <w:sz w:val="20"/>
                <w:szCs w:val="20"/>
              </w:rPr>
              <w:tab/>
            </w:r>
          </w:p>
          <w:p w14:paraId="15748A5D" w14:textId="77777777" w:rsidR="00921628" w:rsidRDefault="00921628" w:rsidP="00AA7D60">
            <w:pPr>
              <w:spacing w:after="0" w:line="216" w:lineRule="auto"/>
              <w:jc w:val="both"/>
              <w:rPr>
                <w:sz w:val="20"/>
                <w:szCs w:val="20"/>
              </w:rPr>
            </w:pPr>
            <w:r>
              <w:rPr>
                <w:sz w:val="20"/>
                <w:szCs w:val="20"/>
              </w:rPr>
              <w:t>Der Prüfling zeigt im Spiel miteinander in den jeweiligen badmintonspezifischen grundlegenden Handlungssituationen, den Spielfluss fördernde technisch-koordinative Fertigkeiten und Fähigkeiten. Im Spiel gegeneinander erlauben ihm umfassende badmintonspezifische Handlungsmuster in den jeweiligen individual- sowie ggf. gruppentaktisch-kognitiven Anforderungssituationen in den Spielhandlungen situativ angemessen zu agieren. Eine differenzierten Selbst- u. Fremd</w:t>
            </w:r>
            <w:r>
              <w:rPr>
                <w:sz w:val="20"/>
                <w:szCs w:val="20"/>
              </w:rPr>
              <w:softHyphen/>
              <w:t>wahrnehmung führt auch unter Druckbedingungen zu sachgerechten und situativ angemessenen taktisch-kognitiven Entscheidungen und somit zu einer effektiven Spielweise.</w:t>
            </w:r>
          </w:p>
          <w:p w14:paraId="32ECDB84" w14:textId="77777777" w:rsidR="00921628" w:rsidRDefault="00921628" w:rsidP="00AA7D60">
            <w:pPr>
              <w:spacing w:after="0" w:line="216" w:lineRule="auto"/>
              <w:jc w:val="both"/>
              <w:rPr>
                <w:sz w:val="20"/>
                <w:szCs w:val="20"/>
              </w:rPr>
            </w:pPr>
            <w:r>
              <w:rPr>
                <w:sz w:val="20"/>
                <w:szCs w:val="20"/>
              </w:rPr>
              <w:t xml:space="preserve">Der Prüfling zeigt dabei ein durchgängig motiviertes und sozial angemessenes Verhalten und kommuniziert ggf. mit seinem Doppelpartner, seiner -partnerin verbal und nonverbal zielorientiert. </w:t>
            </w:r>
          </w:p>
          <w:p w14:paraId="43AE269A" w14:textId="77777777" w:rsidR="00921628" w:rsidRDefault="00921628" w:rsidP="00AA7D60">
            <w:pPr>
              <w:spacing w:after="0" w:line="216" w:lineRule="auto"/>
              <w:jc w:val="both"/>
              <w:rPr>
                <w:sz w:val="20"/>
                <w:szCs w:val="20"/>
              </w:rPr>
            </w:pPr>
            <w:r>
              <w:rPr>
                <w:sz w:val="20"/>
                <w:szCs w:val="20"/>
              </w:rPr>
              <w:t>Der Gesamteindruck der Bewegungshandlungen weist eine durchgehend hohe Bewegungsqualität (Bewegungsfluss, Bewegungskopplung, Bewegungspräzision, Bewegungsdynamik) auf. Kleine technische Mängel oder leichte Unsicherheiten beeinträchtigen den ansonsten souveränen Gesamteindruck nicht.</w:t>
            </w:r>
          </w:p>
        </w:tc>
        <w:tc>
          <w:tcPr>
            <w:tcW w:w="4817" w:type="dxa"/>
            <w:tcBorders>
              <w:top w:val="single" w:sz="4" w:space="0" w:color="auto"/>
              <w:left w:val="single" w:sz="4" w:space="0" w:color="auto"/>
              <w:bottom w:val="single" w:sz="4" w:space="0" w:color="auto"/>
              <w:right w:val="single" w:sz="4" w:space="0" w:color="auto"/>
            </w:tcBorders>
            <w:hideMark/>
          </w:tcPr>
          <w:p w14:paraId="0B0BBF03" w14:textId="77777777" w:rsidR="00921628" w:rsidRDefault="00921628" w:rsidP="00AA7D60">
            <w:pPr>
              <w:spacing w:before="60" w:after="60" w:line="240" w:lineRule="auto"/>
              <w:jc w:val="both"/>
              <w:rPr>
                <w:rFonts w:cstheme="minorHAnsi"/>
                <w:b/>
                <w:i/>
                <w:sz w:val="20"/>
                <w:szCs w:val="20"/>
              </w:rPr>
            </w:pPr>
            <w:r>
              <w:rPr>
                <w:rFonts w:cstheme="minorHAnsi"/>
                <w:b/>
                <w:i/>
                <w:sz w:val="20"/>
                <w:szCs w:val="20"/>
              </w:rPr>
              <w:t>Ausreichend</w:t>
            </w:r>
          </w:p>
          <w:p w14:paraId="5CAB7A21" w14:textId="77777777" w:rsidR="00921628" w:rsidRDefault="00921628" w:rsidP="00AA7D60">
            <w:pPr>
              <w:spacing w:after="0" w:line="216" w:lineRule="auto"/>
              <w:jc w:val="both"/>
              <w:rPr>
                <w:sz w:val="20"/>
                <w:szCs w:val="20"/>
              </w:rPr>
            </w:pPr>
            <w:r>
              <w:rPr>
                <w:sz w:val="20"/>
                <w:szCs w:val="20"/>
              </w:rPr>
              <w:t>Der Prüfling zeigt im Spiel miteinander in den jeweiligen badmintonspezifischen grundlegenden Handlungssituationen selten den Spielfluss fördernde technisch-koordinative Fertigkeiten und Fähigkeiten. Im Spiel gegeneinander erlauben ihm badmintonspezifische Handlungsmuster in den jeweiligen individual- sowie ggf. gruppentaktisch-kognitiven Anforderungssituationen in den Spielhandlungen nicht immer, situativ angemessen zu agieren. Eine situativ fehlerhafte Selbst- u. Fremdwahrnehmung führt – insbes. unter Druckbedingungen –wiederholt zu fehlerhaften sowie situativ unangemessenen taktisch-kognitiven Entscheidungen und somit zu einer ineffektiven Spielweise.</w:t>
            </w:r>
          </w:p>
          <w:p w14:paraId="39792BFD" w14:textId="77777777" w:rsidR="00921628" w:rsidRDefault="00921628" w:rsidP="00AA7D60">
            <w:pPr>
              <w:spacing w:after="0" w:line="216" w:lineRule="auto"/>
              <w:jc w:val="both"/>
              <w:rPr>
                <w:sz w:val="20"/>
                <w:szCs w:val="20"/>
              </w:rPr>
            </w:pPr>
            <w:r>
              <w:rPr>
                <w:sz w:val="20"/>
                <w:szCs w:val="20"/>
              </w:rPr>
              <w:t>Der Prüfling zeigt dabei nicht durchgängig motiviertes und sozial angemessenes Verhalten und kommuniziert ggf. mit seiner Doppelpartnerin, seinem-partner verbal und nonverbal kaum zielorientiert.</w:t>
            </w:r>
          </w:p>
          <w:p w14:paraId="7899673E" w14:textId="77777777" w:rsidR="00921628" w:rsidRDefault="00921628" w:rsidP="00AA7D60">
            <w:pPr>
              <w:spacing w:after="0" w:line="216" w:lineRule="auto"/>
              <w:jc w:val="both"/>
              <w:rPr>
                <w:sz w:val="20"/>
                <w:szCs w:val="20"/>
              </w:rPr>
            </w:pPr>
            <w:r>
              <w:rPr>
                <w:sz w:val="20"/>
                <w:szCs w:val="20"/>
              </w:rPr>
              <w:t>Der Gesamteindruck der Bewegungshandlungen wird durch die wiederholt auftretenden Unsicherheiten gemindert und zeigt eingeschränkte Bewegungsqualität (Bewegungsfluss, Bewegungskopplung, Bewegungspräzision, Bewegungsdynamik).</w:t>
            </w:r>
          </w:p>
        </w:tc>
      </w:tr>
    </w:tbl>
    <w:p w14:paraId="09EBA738" w14:textId="77777777" w:rsidR="00921628" w:rsidRDefault="00921628" w:rsidP="00921628">
      <w:pPr>
        <w:spacing w:after="0" w:line="240" w:lineRule="auto"/>
        <w:sectPr w:rsidR="00921628">
          <w:footnotePr>
            <w:numRestart w:val="eachSect"/>
          </w:footnotePr>
          <w:pgSz w:w="11906" w:h="16838"/>
          <w:pgMar w:top="851" w:right="1021" w:bottom="426" w:left="1134" w:header="709" w:footer="709" w:gutter="0"/>
          <w:cols w:space="720"/>
        </w:sectPr>
      </w:pPr>
    </w:p>
    <w:p w14:paraId="307AB542" w14:textId="77777777" w:rsidR="00921628" w:rsidRDefault="00921628" w:rsidP="00921628">
      <w:pPr>
        <w:spacing w:line="216" w:lineRule="auto"/>
        <w:jc w:val="center"/>
        <w:rPr>
          <w:b/>
          <w:sz w:val="28"/>
          <w:szCs w:val="28"/>
          <w:u w:val="single"/>
        </w:rPr>
      </w:pPr>
      <w:r>
        <w:rPr>
          <w:b/>
          <w:sz w:val="28"/>
          <w:szCs w:val="28"/>
          <w:u w:val="single"/>
        </w:rPr>
        <w:lastRenderedPageBreak/>
        <w:t>Beobachtungsbogen Badminton: Fakultative Leistung</w:t>
      </w:r>
    </w:p>
    <w:p w14:paraId="6E887B5E" w14:textId="77777777" w:rsidR="00921628" w:rsidRDefault="00921628" w:rsidP="000D330E">
      <w:pPr>
        <w:tabs>
          <w:tab w:val="left" w:pos="6804"/>
          <w:tab w:val="right" w:pos="9639"/>
        </w:tabs>
        <w:spacing w:before="120" w:after="120" w:line="216" w:lineRule="auto"/>
        <w:jc w:val="both"/>
        <w:rPr>
          <w:sz w:val="28"/>
          <w:szCs w:val="28"/>
          <w:u w:val="single"/>
        </w:rPr>
      </w:pPr>
      <w:r>
        <w:rPr>
          <w:b/>
          <w:sz w:val="28"/>
          <w:szCs w:val="28"/>
        </w:rPr>
        <w:t xml:space="preserve">Name des Prüflings: </w:t>
      </w:r>
      <w:r>
        <w:rPr>
          <w:sz w:val="28"/>
          <w:szCs w:val="28"/>
          <w:u w:val="single"/>
        </w:rPr>
        <w:tab/>
      </w:r>
      <w:r>
        <w:rPr>
          <w:b/>
          <w:sz w:val="28"/>
          <w:szCs w:val="28"/>
        </w:rPr>
        <w:t xml:space="preserve">   Datum </w:t>
      </w:r>
      <w:r>
        <w:rPr>
          <w:sz w:val="28"/>
          <w:szCs w:val="28"/>
          <w:u w:val="single"/>
        </w:rPr>
        <w:tab/>
      </w:r>
    </w:p>
    <w:tbl>
      <w:tblPr>
        <w:tblpPr w:leftFromText="141" w:rightFromText="141" w:vertAnchor="text"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118"/>
      </w:tblGrid>
      <w:tr w:rsidR="00921628" w14:paraId="46E86500" w14:textId="77777777" w:rsidTr="00AA7D60">
        <w:trPr>
          <w:trHeight w:val="556"/>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04F1AF8D" w14:textId="77777777" w:rsidR="00921628" w:rsidRDefault="00921628" w:rsidP="00AA7D60">
            <w:pPr>
              <w:spacing w:after="0"/>
              <w:rPr>
                <w:sz w:val="28"/>
                <w:szCs w:val="28"/>
              </w:rPr>
            </w:pPr>
            <w:r>
              <w:rPr>
                <w:rFonts w:eastAsia="Times New Roman" w:cs="Arial"/>
                <w:b/>
                <w:sz w:val="28"/>
                <w:szCs w:val="28"/>
              </w:rPr>
              <w:t>Erster Prüfungsteil (miteinander im Einzel)</w:t>
            </w:r>
          </w:p>
        </w:tc>
      </w:tr>
      <w:tr w:rsidR="00921628" w14:paraId="2F0BB38D" w14:textId="77777777" w:rsidTr="00AA7D60">
        <w:trPr>
          <w:trHeight w:val="1406"/>
        </w:trPr>
        <w:tc>
          <w:tcPr>
            <w:tcW w:w="9781" w:type="dxa"/>
            <w:gridSpan w:val="2"/>
            <w:tcBorders>
              <w:top w:val="single" w:sz="4" w:space="0" w:color="auto"/>
              <w:left w:val="single" w:sz="4" w:space="0" w:color="auto"/>
              <w:bottom w:val="single" w:sz="4" w:space="0" w:color="auto"/>
              <w:right w:val="single" w:sz="4" w:space="0" w:color="auto"/>
            </w:tcBorders>
            <w:hideMark/>
          </w:tcPr>
          <w:p w14:paraId="5C77945A" w14:textId="77777777" w:rsidR="00921628" w:rsidRDefault="00921628" w:rsidP="00AA7D60">
            <w:pPr>
              <w:pStyle w:val="Listenabsatz"/>
              <w:spacing w:after="0" w:line="216" w:lineRule="auto"/>
              <w:ind w:left="0"/>
              <w:rPr>
                <w:b/>
              </w:rPr>
            </w:pPr>
            <w:r>
              <w:rPr>
                <w:b/>
              </w:rPr>
              <w:t>Beobachtungsschwerpunkte:</w:t>
            </w:r>
          </w:p>
          <w:p w14:paraId="72833B5A" w14:textId="77777777" w:rsidR="00921628" w:rsidRDefault="00921628" w:rsidP="00921628">
            <w:pPr>
              <w:pStyle w:val="Listenabsatz"/>
              <w:numPr>
                <w:ilvl w:val="0"/>
                <w:numId w:val="3"/>
              </w:numPr>
              <w:spacing w:after="0" w:line="240" w:lineRule="auto"/>
              <w:ind w:right="-142"/>
              <w:rPr>
                <w:rFonts w:asciiTheme="minorHAnsi" w:hAnsiTheme="minorHAnsi"/>
                <w:sz w:val="20"/>
                <w:szCs w:val="20"/>
              </w:rPr>
            </w:pPr>
            <w:r>
              <w:rPr>
                <w:rFonts w:asciiTheme="minorHAnsi" w:hAnsiTheme="minorHAnsi"/>
                <w:sz w:val="20"/>
                <w:szCs w:val="20"/>
              </w:rPr>
              <w:t>Funktionale Anwendung der technisch-koordinativen badmintonspezifischen Fähigkeiten und Fertigkeiten in den Grundtechniken in einer vorgegebenen einfachen Spielform</w:t>
            </w:r>
          </w:p>
          <w:p w14:paraId="2F88D2CC" w14:textId="77777777" w:rsidR="00921628" w:rsidRDefault="00921628" w:rsidP="00921628">
            <w:pPr>
              <w:pStyle w:val="Listenabsatz"/>
              <w:numPr>
                <w:ilvl w:val="0"/>
                <w:numId w:val="3"/>
              </w:numPr>
              <w:spacing w:after="0" w:line="240" w:lineRule="auto"/>
              <w:ind w:right="-142"/>
              <w:rPr>
                <w:rFonts w:asciiTheme="minorHAnsi" w:hAnsiTheme="minorHAnsi"/>
                <w:b/>
                <w:sz w:val="24"/>
                <w:szCs w:val="24"/>
              </w:rPr>
            </w:pPr>
            <w:r>
              <w:rPr>
                <w:rFonts w:asciiTheme="minorHAnsi" w:hAnsiTheme="minorHAnsi"/>
                <w:sz w:val="20"/>
                <w:szCs w:val="20"/>
              </w:rPr>
              <w:t>Situationsgerechte Anwendung der technisch-koordinativen badmintonspezifischen Fähigkeiten und Fertigkeiten in einer vorgegebenen einfachen Spielform</w:t>
            </w:r>
          </w:p>
        </w:tc>
      </w:tr>
      <w:tr w:rsidR="00921628" w14:paraId="594C9AEE" w14:textId="77777777" w:rsidTr="00AA7D60">
        <w:trPr>
          <w:trHeight w:val="394"/>
        </w:trPr>
        <w:tc>
          <w:tcPr>
            <w:tcW w:w="6663" w:type="dxa"/>
            <w:tcBorders>
              <w:top w:val="single" w:sz="4" w:space="0" w:color="auto"/>
              <w:left w:val="single" w:sz="4" w:space="0" w:color="auto"/>
              <w:bottom w:val="single" w:sz="4" w:space="0" w:color="auto"/>
              <w:right w:val="single" w:sz="4" w:space="0" w:color="auto"/>
            </w:tcBorders>
            <w:vAlign w:val="center"/>
            <w:hideMark/>
          </w:tcPr>
          <w:p w14:paraId="6EF40116" w14:textId="77777777" w:rsidR="00921628" w:rsidRDefault="00921628" w:rsidP="00AA7D60">
            <w:pPr>
              <w:tabs>
                <w:tab w:val="left" w:pos="268"/>
              </w:tabs>
              <w:spacing w:after="0" w:line="216" w:lineRule="auto"/>
              <w:ind w:left="-15"/>
              <w:jc w:val="center"/>
              <w:rPr>
                <w:b/>
                <w:sz w:val="20"/>
                <w:szCs w:val="20"/>
              </w:rPr>
            </w:pPr>
            <w:r>
              <w:rPr>
                <w:b/>
                <w:sz w:val="24"/>
                <w:szCs w:val="24"/>
              </w:rPr>
              <w:t>Indikatoren:</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DA932B" w14:textId="77777777" w:rsidR="00921628" w:rsidRDefault="00921628" w:rsidP="00AA7D60">
            <w:pPr>
              <w:pStyle w:val="berschrift2"/>
              <w:numPr>
                <w:ilvl w:val="0"/>
                <w:numId w:val="0"/>
              </w:numPr>
              <w:spacing w:before="0" w:line="216" w:lineRule="auto"/>
              <w:jc w:val="center"/>
              <w:rPr>
                <w:rFonts w:ascii="Calibri" w:eastAsia="Calibri" w:hAnsi="Calibri"/>
                <w:b/>
                <w:color w:val="auto"/>
                <w:sz w:val="20"/>
                <w:szCs w:val="20"/>
              </w:rPr>
            </w:pPr>
            <w:r>
              <w:rPr>
                <w:rFonts w:asciiTheme="minorHAnsi" w:eastAsia="Calibri" w:hAnsiTheme="minorHAnsi"/>
                <w:b/>
                <w:color w:val="auto"/>
                <w:sz w:val="24"/>
                <w:szCs w:val="24"/>
              </w:rPr>
              <w:t>Anmerkungen</w:t>
            </w:r>
          </w:p>
        </w:tc>
      </w:tr>
      <w:tr w:rsidR="00921628" w14:paraId="13C08850" w14:textId="77777777" w:rsidTr="00AA7D60">
        <w:trPr>
          <w:trHeight w:val="574"/>
        </w:trPr>
        <w:tc>
          <w:tcPr>
            <w:tcW w:w="6663" w:type="dxa"/>
            <w:tcBorders>
              <w:top w:val="single" w:sz="4" w:space="0" w:color="auto"/>
              <w:left w:val="single" w:sz="4" w:space="0" w:color="auto"/>
              <w:bottom w:val="single" w:sz="4" w:space="0" w:color="auto"/>
              <w:right w:val="single" w:sz="4" w:space="0" w:color="auto"/>
            </w:tcBorders>
            <w:hideMark/>
          </w:tcPr>
          <w:p w14:paraId="6AE09325" w14:textId="241A7673" w:rsidR="00921628" w:rsidRDefault="00921628" w:rsidP="00AA7D60">
            <w:pPr>
              <w:spacing w:before="60" w:after="60" w:line="216" w:lineRule="auto"/>
              <w:ind w:left="34"/>
              <w:jc w:val="both"/>
              <w:rPr>
                <w:rFonts w:cs="Arial"/>
                <w:sz w:val="18"/>
                <w:szCs w:val="20"/>
              </w:rPr>
            </w:pPr>
            <w:r>
              <w:rPr>
                <w:rFonts w:cs="Arial"/>
                <w:sz w:val="18"/>
                <w:szCs w:val="20"/>
              </w:rPr>
              <w:t xml:space="preserve">Ein positions- und situationsgerechtes Verhalten zeigen und aufrecht erhalten </w:t>
            </w:r>
          </w:p>
        </w:tc>
        <w:tc>
          <w:tcPr>
            <w:tcW w:w="3118" w:type="dxa"/>
            <w:tcBorders>
              <w:top w:val="single" w:sz="4" w:space="0" w:color="auto"/>
              <w:left w:val="single" w:sz="4" w:space="0" w:color="auto"/>
              <w:bottom w:val="single" w:sz="4" w:space="0" w:color="auto"/>
              <w:right w:val="single" w:sz="4" w:space="0" w:color="auto"/>
            </w:tcBorders>
          </w:tcPr>
          <w:p w14:paraId="4479E7DB" w14:textId="77777777" w:rsidR="00921628" w:rsidRDefault="00921628" w:rsidP="00AA7D60">
            <w:pPr>
              <w:pStyle w:val="berschrift2"/>
              <w:numPr>
                <w:ilvl w:val="0"/>
                <w:numId w:val="0"/>
              </w:numPr>
              <w:spacing w:line="216" w:lineRule="auto"/>
              <w:rPr>
                <w:rFonts w:ascii="Calibri" w:hAnsi="Calibri"/>
                <w:b/>
                <w:color w:val="auto"/>
                <w:sz w:val="28"/>
                <w:szCs w:val="28"/>
              </w:rPr>
            </w:pPr>
          </w:p>
        </w:tc>
      </w:tr>
      <w:tr w:rsidR="00921628" w14:paraId="0076F57A" w14:textId="77777777" w:rsidTr="00AA7D60">
        <w:trPr>
          <w:trHeight w:val="526"/>
        </w:trPr>
        <w:tc>
          <w:tcPr>
            <w:tcW w:w="6663" w:type="dxa"/>
            <w:tcBorders>
              <w:top w:val="single" w:sz="4" w:space="0" w:color="auto"/>
              <w:left w:val="single" w:sz="4" w:space="0" w:color="auto"/>
              <w:bottom w:val="single" w:sz="4" w:space="0" w:color="auto"/>
              <w:right w:val="single" w:sz="4" w:space="0" w:color="auto"/>
            </w:tcBorders>
            <w:hideMark/>
          </w:tcPr>
          <w:p w14:paraId="5C3A310A" w14:textId="5C681C99" w:rsidR="00921628" w:rsidRDefault="00921628" w:rsidP="00AA7D60">
            <w:pPr>
              <w:spacing w:before="60" w:after="60" w:line="216" w:lineRule="auto"/>
              <w:ind w:left="34"/>
              <w:jc w:val="both"/>
              <w:rPr>
                <w:rFonts w:cs="Arial"/>
                <w:sz w:val="18"/>
                <w:szCs w:val="20"/>
              </w:rPr>
            </w:pPr>
            <w:r>
              <w:rPr>
                <w:rFonts w:cs="Arial"/>
                <w:sz w:val="18"/>
                <w:szCs w:val="20"/>
              </w:rPr>
              <w:t>Verschiedene Schlagarten mit unterschiedlichen Treffbereichen und Schlagrichtungen funktional anwenden können</w:t>
            </w:r>
          </w:p>
        </w:tc>
        <w:tc>
          <w:tcPr>
            <w:tcW w:w="3118" w:type="dxa"/>
            <w:tcBorders>
              <w:top w:val="single" w:sz="4" w:space="0" w:color="auto"/>
              <w:left w:val="single" w:sz="4" w:space="0" w:color="auto"/>
              <w:bottom w:val="single" w:sz="4" w:space="0" w:color="auto"/>
              <w:right w:val="single" w:sz="4" w:space="0" w:color="auto"/>
            </w:tcBorders>
          </w:tcPr>
          <w:p w14:paraId="3F782D84" w14:textId="77777777" w:rsidR="00921628" w:rsidRDefault="00921628" w:rsidP="00AA7D60">
            <w:pPr>
              <w:pStyle w:val="berschrift2"/>
              <w:numPr>
                <w:ilvl w:val="0"/>
                <w:numId w:val="0"/>
              </w:numPr>
              <w:spacing w:line="216" w:lineRule="auto"/>
              <w:rPr>
                <w:rFonts w:ascii="Calibri" w:hAnsi="Calibri"/>
                <w:b/>
                <w:color w:val="auto"/>
                <w:sz w:val="28"/>
                <w:szCs w:val="28"/>
              </w:rPr>
            </w:pPr>
          </w:p>
        </w:tc>
      </w:tr>
      <w:tr w:rsidR="00921628" w14:paraId="1B9586B6" w14:textId="77777777" w:rsidTr="00AA7D60">
        <w:trPr>
          <w:trHeight w:val="620"/>
        </w:trPr>
        <w:tc>
          <w:tcPr>
            <w:tcW w:w="6663" w:type="dxa"/>
            <w:tcBorders>
              <w:top w:val="single" w:sz="4" w:space="0" w:color="auto"/>
              <w:left w:val="single" w:sz="4" w:space="0" w:color="auto"/>
              <w:bottom w:val="single" w:sz="4" w:space="0" w:color="auto"/>
              <w:right w:val="single" w:sz="4" w:space="0" w:color="auto"/>
            </w:tcBorders>
            <w:hideMark/>
          </w:tcPr>
          <w:p w14:paraId="6EB3F899" w14:textId="211E0C99" w:rsidR="00921628" w:rsidRDefault="00921628" w:rsidP="00AA7D60">
            <w:pPr>
              <w:spacing w:before="60" w:after="60" w:line="216" w:lineRule="auto"/>
              <w:ind w:left="34"/>
              <w:jc w:val="both"/>
              <w:rPr>
                <w:rFonts w:cs="Arial"/>
                <w:sz w:val="18"/>
                <w:szCs w:val="20"/>
              </w:rPr>
            </w:pPr>
            <w:r>
              <w:rPr>
                <w:rFonts w:cs="Arial"/>
                <w:sz w:val="18"/>
                <w:szCs w:val="20"/>
              </w:rPr>
              <w:t>Verschiedene Schlagarten mit unterschiedlichen Treffbereichen und Schlagrichtungen sicher und zielfeldorientiert anwenden können</w:t>
            </w:r>
          </w:p>
        </w:tc>
        <w:tc>
          <w:tcPr>
            <w:tcW w:w="3118" w:type="dxa"/>
            <w:tcBorders>
              <w:top w:val="single" w:sz="4" w:space="0" w:color="auto"/>
              <w:left w:val="single" w:sz="4" w:space="0" w:color="auto"/>
              <w:bottom w:val="single" w:sz="4" w:space="0" w:color="auto"/>
              <w:right w:val="single" w:sz="4" w:space="0" w:color="auto"/>
            </w:tcBorders>
          </w:tcPr>
          <w:p w14:paraId="0954F707" w14:textId="77777777" w:rsidR="00921628" w:rsidRDefault="00921628" w:rsidP="00AA7D60">
            <w:pPr>
              <w:pStyle w:val="berschrift2"/>
              <w:numPr>
                <w:ilvl w:val="0"/>
                <w:numId w:val="0"/>
              </w:numPr>
              <w:spacing w:line="216" w:lineRule="auto"/>
              <w:rPr>
                <w:rFonts w:ascii="Calibri" w:hAnsi="Calibri"/>
                <w:b/>
                <w:color w:val="auto"/>
                <w:sz w:val="28"/>
                <w:szCs w:val="28"/>
              </w:rPr>
            </w:pPr>
          </w:p>
        </w:tc>
      </w:tr>
      <w:tr w:rsidR="00921628" w14:paraId="4BD46A54" w14:textId="77777777" w:rsidTr="00AA7D60">
        <w:trPr>
          <w:trHeight w:val="426"/>
        </w:trPr>
        <w:tc>
          <w:tcPr>
            <w:tcW w:w="6663" w:type="dxa"/>
            <w:tcBorders>
              <w:top w:val="single" w:sz="4" w:space="0" w:color="auto"/>
              <w:left w:val="single" w:sz="4" w:space="0" w:color="auto"/>
              <w:bottom w:val="single" w:sz="4" w:space="0" w:color="auto"/>
              <w:right w:val="nil"/>
            </w:tcBorders>
            <w:vAlign w:val="center"/>
            <w:hideMark/>
          </w:tcPr>
          <w:p w14:paraId="525DAC50" w14:textId="77777777" w:rsidR="00921628" w:rsidRDefault="00921628" w:rsidP="00AA7D60">
            <w:pPr>
              <w:pStyle w:val="Listenabsatz"/>
              <w:spacing w:after="0" w:line="216" w:lineRule="auto"/>
              <w:ind w:left="0"/>
              <w:jc w:val="right"/>
              <w:rPr>
                <w:sz w:val="16"/>
                <w:szCs w:val="16"/>
              </w:rPr>
            </w:pPr>
            <w:r>
              <w:rPr>
                <w:b/>
                <w:sz w:val="24"/>
                <w:szCs w:val="24"/>
              </w:rPr>
              <w:t>Notenpunkte 1. Prüfungsteil:</w:t>
            </w:r>
          </w:p>
        </w:tc>
        <w:tc>
          <w:tcPr>
            <w:tcW w:w="3118" w:type="dxa"/>
            <w:tcBorders>
              <w:top w:val="single" w:sz="4" w:space="0" w:color="auto"/>
              <w:left w:val="nil"/>
              <w:bottom w:val="single" w:sz="4" w:space="0" w:color="auto"/>
              <w:right w:val="single" w:sz="4" w:space="0" w:color="auto"/>
            </w:tcBorders>
            <w:vAlign w:val="center"/>
          </w:tcPr>
          <w:p w14:paraId="6EA85BBE" w14:textId="77777777" w:rsidR="00921628" w:rsidRDefault="00921628" w:rsidP="00AA7D60">
            <w:pPr>
              <w:pStyle w:val="berschrift2"/>
              <w:numPr>
                <w:ilvl w:val="0"/>
                <w:numId w:val="0"/>
              </w:numPr>
              <w:spacing w:before="0" w:line="216" w:lineRule="auto"/>
              <w:jc w:val="right"/>
              <w:rPr>
                <w:rFonts w:ascii="Calibri" w:hAnsi="Calibri"/>
                <w:color w:val="auto"/>
                <w:sz w:val="24"/>
                <w:szCs w:val="24"/>
              </w:rPr>
            </w:pPr>
          </w:p>
        </w:tc>
      </w:tr>
    </w:tbl>
    <w:p w14:paraId="2EFFFE58" w14:textId="77777777" w:rsidR="00921628" w:rsidRDefault="00921628" w:rsidP="00921628">
      <w:pPr>
        <w:spacing w:after="0"/>
        <w:rPr>
          <w:sz w:val="8"/>
          <w:szCs w:val="8"/>
        </w:rPr>
      </w:pPr>
    </w:p>
    <w:tbl>
      <w:tblPr>
        <w:tblStyle w:val="Tabellenraster"/>
        <w:tblW w:w="9776" w:type="dxa"/>
        <w:jc w:val="center"/>
        <w:tblCellMar>
          <w:top w:w="57" w:type="dxa"/>
          <w:bottom w:w="57" w:type="dxa"/>
        </w:tblCellMar>
        <w:tblLook w:val="04A0" w:firstRow="1" w:lastRow="0" w:firstColumn="1" w:lastColumn="0" w:noHBand="0" w:noVBand="1"/>
      </w:tblPr>
      <w:tblGrid>
        <w:gridCol w:w="9776"/>
      </w:tblGrid>
      <w:tr w:rsidR="00921628" w14:paraId="379E33D4" w14:textId="77777777" w:rsidTr="00AA7D60">
        <w:trPr>
          <w:trHeight w:val="513"/>
          <w:jc w:val="center"/>
        </w:trPr>
        <w:tc>
          <w:tcPr>
            <w:tcW w:w="9776" w:type="dxa"/>
            <w:tcBorders>
              <w:top w:val="single" w:sz="4" w:space="0" w:color="auto"/>
              <w:left w:val="single" w:sz="4" w:space="0" w:color="auto"/>
              <w:bottom w:val="single" w:sz="4" w:space="0" w:color="auto"/>
              <w:right w:val="single" w:sz="4" w:space="0" w:color="auto"/>
            </w:tcBorders>
            <w:vAlign w:val="center"/>
            <w:hideMark/>
          </w:tcPr>
          <w:p w14:paraId="2DCD4A0A" w14:textId="77777777" w:rsidR="00921628" w:rsidRDefault="00921628" w:rsidP="00AA7D60">
            <w:pPr>
              <w:rPr>
                <w:rFonts w:asciiTheme="minorHAnsi" w:eastAsia="Times New Roman" w:hAnsiTheme="minorHAnsi" w:cs="Arial"/>
                <w:b/>
                <w:sz w:val="28"/>
                <w:szCs w:val="28"/>
              </w:rPr>
            </w:pPr>
            <w:r>
              <w:rPr>
                <w:rFonts w:asciiTheme="minorHAnsi" w:eastAsia="Times New Roman" w:hAnsiTheme="minorHAnsi" w:cs="Arial"/>
                <w:b/>
                <w:sz w:val="28"/>
                <w:szCs w:val="28"/>
              </w:rPr>
              <w:t>Zweiter Prüfungsteil (vom Miteinander zum Gegeneinander im Einzel und Doppel)</w:t>
            </w:r>
          </w:p>
        </w:tc>
      </w:tr>
      <w:tr w:rsidR="00921628" w14:paraId="7234772D" w14:textId="77777777" w:rsidTr="00AA7D60">
        <w:trPr>
          <w:jc w:val="center"/>
        </w:trPr>
        <w:tc>
          <w:tcPr>
            <w:tcW w:w="9776" w:type="dxa"/>
            <w:tcBorders>
              <w:top w:val="single" w:sz="4" w:space="0" w:color="auto"/>
              <w:left w:val="single" w:sz="4" w:space="0" w:color="auto"/>
              <w:bottom w:val="nil"/>
              <w:right w:val="single" w:sz="4" w:space="0" w:color="auto"/>
            </w:tcBorders>
            <w:hideMark/>
          </w:tcPr>
          <w:p w14:paraId="4B372FD2" w14:textId="77777777" w:rsidR="00921628" w:rsidRDefault="00921628" w:rsidP="00AA7D60">
            <w:pPr>
              <w:pStyle w:val="Listenabsatz"/>
              <w:spacing w:before="60" w:line="216" w:lineRule="auto"/>
              <w:ind w:left="0"/>
              <w:rPr>
                <w:b/>
              </w:rPr>
            </w:pPr>
            <w:r>
              <w:rPr>
                <w:b/>
              </w:rPr>
              <w:t>Beobachtungsschwerpunkte:</w:t>
            </w:r>
          </w:p>
          <w:p w14:paraId="1F326308" w14:textId="77777777" w:rsidR="00921628" w:rsidRDefault="00921628" w:rsidP="00921628">
            <w:pPr>
              <w:pStyle w:val="Listenabsatz"/>
              <w:numPr>
                <w:ilvl w:val="0"/>
                <w:numId w:val="3"/>
              </w:numPr>
              <w:spacing w:before="20" w:line="216" w:lineRule="auto"/>
              <w:rPr>
                <w:rFonts w:asciiTheme="minorHAnsi" w:hAnsiTheme="minorHAnsi"/>
              </w:rPr>
            </w:pPr>
            <w:r>
              <w:rPr>
                <w:rFonts w:asciiTheme="minorHAnsi" w:hAnsiTheme="minorHAnsi"/>
              </w:rPr>
              <w:t>Funktionale Anwendung der technisch-koordinativen badmintonspezifischen Fähigkeiten und Fertigkeiten in den Grundtechniken in einer vorgegebenen komplexen Spielform</w:t>
            </w:r>
          </w:p>
          <w:p w14:paraId="6B0DF847" w14:textId="77777777" w:rsidR="00921628" w:rsidRDefault="00921628" w:rsidP="00921628">
            <w:pPr>
              <w:pStyle w:val="Listenabsatz"/>
              <w:numPr>
                <w:ilvl w:val="0"/>
                <w:numId w:val="3"/>
              </w:numPr>
              <w:spacing w:before="20" w:line="216" w:lineRule="auto"/>
              <w:rPr>
                <w:rFonts w:asciiTheme="minorHAnsi" w:hAnsiTheme="minorHAnsi"/>
              </w:rPr>
            </w:pPr>
            <w:r>
              <w:rPr>
                <w:rFonts w:asciiTheme="minorHAnsi" w:hAnsiTheme="minorHAnsi"/>
              </w:rPr>
              <w:t>Situationsgerechte Anwendung der technisch-koordinativen badmintonspezifischen Fähigkeiten und Fertigkeiten in einer vorgegebenen komplexen Spielform</w:t>
            </w:r>
          </w:p>
          <w:p w14:paraId="11FABBD9" w14:textId="77777777" w:rsidR="00921628" w:rsidRDefault="00921628" w:rsidP="00921628">
            <w:pPr>
              <w:pStyle w:val="Listenabsatz"/>
              <w:numPr>
                <w:ilvl w:val="0"/>
                <w:numId w:val="3"/>
              </w:numPr>
              <w:spacing w:before="20" w:line="216" w:lineRule="auto"/>
              <w:rPr>
                <w:rFonts w:asciiTheme="minorHAnsi" w:hAnsiTheme="minorHAnsi"/>
              </w:rPr>
            </w:pPr>
            <w:r>
              <w:rPr>
                <w:rFonts w:asciiTheme="minorHAnsi" w:hAnsiTheme="minorHAnsi"/>
              </w:rPr>
              <w:t xml:space="preserve">Situationsgerechte Anwendung individual-sowie im Doppel gruppentaktisch-kognitiver Entscheidungen in einer vorgegebenen komplexen Spielform </w:t>
            </w:r>
          </w:p>
          <w:p w14:paraId="5B0537A4" w14:textId="77777777" w:rsidR="00921628" w:rsidRDefault="00921628" w:rsidP="00921628">
            <w:pPr>
              <w:pStyle w:val="Listenabsatz"/>
              <w:numPr>
                <w:ilvl w:val="0"/>
                <w:numId w:val="3"/>
              </w:numPr>
              <w:spacing w:before="20" w:line="216" w:lineRule="auto"/>
            </w:pPr>
            <w:r>
              <w:rPr>
                <w:rFonts w:asciiTheme="minorHAnsi" w:hAnsiTheme="minorHAnsi"/>
              </w:rPr>
              <w:t xml:space="preserve">Situationsgerechte Anwendung badmintonspezifischer psychischer Fähigkeiten in einer vorgegebenen komplexen Spielform </w:t>
            </w:r>
          </w:p>
        </w:tc>
      </w:tr>
    </w:tbl>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4680"/>
        <w:gridCol w:w="2689"/>
      </w:tblGrid>
      <w:tr w:rsidR="00921628" w14:paraId="460CC0A3" w14:textId="77777777" w:rsidTr="00AA7D60">
        <w:trPr>
          <w:trHeight w:val="397"/>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14:paraId="61CCE910" w14:textId="77777777" w:rsidR="00921628" w:rsidRDefault="00921628" w:rsidP="00AA7D60">
            <w:pPr>
              <w:pStyle w:val="berschrift2"/>
              <w:numPr>
                <w:ilvl w:val="0"/>
                <w:numId w:val="0"/>
              </w:numPr>
              <w:spacing w:line="216" w:lineRule="auto"/>
              <w:jc w:val="center"/>
              <w:rPr>
                <w:b/>
                <w:sz w:val="20"/>
                <w:szCs w:val="20"/>
              </w:rPr>
            </w:pPr>
            <w:r>
              <w:rPr>
                <w:rFonts w:asciiTheme="minorHAnsi" w:eastAsia="Calibri" w:hAnsiTheme="minorHAnsi"/>
                <w:b/>
                <w:color w:val="auto"/>
                <w:sz w:val="24"/>
                <w:szCs w:val="24"/>
              </w:rPr>
              <w:t>Anmerkungen Einzel</w:t>
            </w:r>
          </w:p>
        </w:tc>
        <w:tc>
          <w:tcPr>
            <w:tcW w:w="4680" w:type="dxa"/>
            <w:tcBorders>
              <w:top w:val="single" w:sz="4" w:space="0" w:color="auto"/>
              <w:left w:val="single" w:sz="4" w:space="0" w:color="auto"/>
              <w:bottom w:val="single" w:sz="4" w:space="0" w:color="auto"/>
              <w:right w:val="single" w:sz="4" w:space="0" w:color="auto"/>
            </w:tcBorders>
            <w:vAlign w:val="center"/>
            <w:hideMark/>
          </w:tcPr>
          <w:p w14:paraId="0D16046D" w14:textId="77777777" w:rsidR="00921628" w:rsidRDefault="00921628" w:rsidP="00AA7D60">
            <w:pPr>
              <w:pStyle w:val="berschrift2"/>
              <w:numPr>
                <w:ilvl w:val="0"/>
                <w:numId w:val="0"/>
              </w:numPr>
              <w:spacing w:line="216" w:lineRule="auto"/>
              <w:jc w:val="center"/>
              <w:rPr>
                <w:b/>
                <w:sz w:val="20"/>
                <w:szCs w:val="20"/>
              </w:rPr>
            </w:pPr>
            <w:r>
              <w:rPr>
                <w:rFonts w:asciiTheme="minorHAnsi" w:eastAsia="Calibri" w:hAnsiTheme="minorHAnsi"/>
                <w:b/>
                <w:color w:val="auto"/>
                <w:sz w:val="24"/>
                <w:szCs w:val="24"/>
              </w:rPr>
              <w:t>Indikatoren:</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0B47582" w14:textId="77777777" w:rsidR="00921628" w:rsidRDefault="00921628" w:rsidP="00AA7D60">
            <w:pPr>
              <w:pStyle w:val="berschrift2"/>
              <w:numPr>
                <w:ilvl w:val="0"/>
                <w:numId w:val="0"/>
              </w:numPr>
              <w:spacing w:line="216" w:lineRule="auto"/>
              <w:jc w:val="center"/>
              <w:rPr>
                <w:rFonts w:ascii="Calibri" w:eastAsia="Calibri" w:hAnsi="Calibri"/>
                <w:b/>
                <w:color w:val="auto"/>
                <w:sz w:val="20"/>
                <w:szCs w:val="20"/>
              </w:rPr>
            </w:pPr>
            <w:r>
              <w:rPr>
                <w:rFonts w:asciiTheme="minorHAnsi" w:eastAsia="Calibri" w:hAnsiTheme="minorHAnsi"/>
                <w:b/>
                <w:color w:val="auto"/>
                <w:sz w:val="24"/>
                <w:szCs w:val="24"/>
              </w:rPr>
              <w:t>Anmerkungen Doppel</w:t>
            </w:r>
          </w:p>
        </w:tc>
      </w:tr>
      <w:tr w:rsidR="00921628" w14:paraId="75E22DE9" w14:textId="77777777" w:rsidTr="00AA7D60">
        <w:trPr>
          <w:trHeight w:val="750"/>
          <w:jc w:val="center"/>
        </w:trPr>
        <w:tc>
          <w:tcPr>
            <w:tcW w:w="2412" w:type="dxa"/>
            <w:tcBorders>
              <w:top w:val="single" w:sz="4" w:space="0" w:color="auto"/>
              <w:left w:val="single" w:sz="4" w:space="0" w:color="auto"/>
              <w:bottom w:val="single" w:sz="4" w:space="0" w:color="auto"/>
              <w:right w:val="single" w:sz="4" w:space="0" w:color="auto"/>
            </w:tcBorders>
          </w:tcPr>
          <w:p w14:paraId="724700D5" w14:textId="77777777" w:rsidR="00921628" w:rsidRDefault="00921628" w:rsidP="00AA7D60">
            <w:pPr>
              <w:pStyle w:val="Listenabsatz"/>
              <w:spacing w:after="0" w:line="216" w:lineRule="auto"/>
              <w:ind w:left="284"/>
              <w:jc w:val="both"/>
              <w:rPr>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14:paraId="28F7E07E" w14:textId="10F17200" w:rsidR="00921628" w:rsidRDefault="00921628" w:rsidP="00AA7D60">
            <w:pPr>
              <w:spacing w:before="60" w:after="60" w:line="216" w:lineRule="auto"/>
              <w:jc w:val="both"/>
              <w:rPr>
                <w:rFonts w:cs="Arial"/>
                <w:sz w:val="18"/>
                <w:szCs w:val="18"/>
              </w:rPr>
            </w:pPr>
            <w:r>
              <w:rPr>
                <w:rFonts w:cs="Arial"/>
                <w:sz w:val="18"/>
                <w:szCs w:val="18"/>
              </w:rPr>
              <w:t>Ein positions- und situationsgerechtes Verhalten (im Einzel: aktionsbereite Grundhaltung im Zentralbereich</w:t>
            </w:r>
            <w:r w:rsidR="000D330E">
              <w:rPr>
                <w:rFonts w:cs="Arial"/>
                <w:sz w:val="18"/>
                <w:szCs w:val="18"/>
              </w:rPr>
              <w:t xml:space="preserve"> bzw. Rückkehr in diesen während der Clear-Rally</w:t>
            </w:r>
            <w:r>
              <w:rPr>
                <w:rFonts w:cs="Arial"/>
                <w:sz w:val="18"/>
                <w:szCs w:val="18"/>
              </w:rPr>
              <w:t>; im Doppel: Aufstellung nebeneinander oder hintereinander) zeigen und aufrecht erhalten können</w:t>
            </w:r>
          </w:p>
        </w:tc>
        <w:tc>
          <w:tcPr>
            <w:tcW w:w="2689" w:type="dxa"/>
            <w:tcBorders>
              <w:top w:val="single" w:sz="4" w:space="0" w:color="auto"/>
              <w:left w:val="single" w:sz="4" w:space="0" w:color="auto"/>
              <w:bottom w:val="single" w:sz="4" w:space="0" w:color="auto"/>
              <w:right w:val="single" w:sz="4" w:space="0" w:color="auto"/>
            </w:tcBorders>
          </w:tcPr>
          <w:p w14:paraId="486C1804" w14:textId="77777777" w:rsidR="00921628" w:rsidRDefault="00921628" w:rsidP="00AA7D60">
            <w:pPr>
              <w:pStyle w:val="berschrift2"/>
              <w:numPr>
                <w:ilvl w:val="0"/>
                <w:numId w:val="0"/>
              </w:numPr>
              <w:spacing w:before="0" w:line="216" w:lineRule="auto"/>
              <w:rPr>
                <w:rFonts w:ascii="Calibri" w:hAnsi="Calibri"/>
                <w:color w:val="auto"/>
                <w:sz w:val="20"/>
                <w:szCs w:val="20"/>
              </w:rPr>
            </w:pPr>
          </w:p>
        </w:tc>
      </w:tr>
      <w:tr w:rsidR="00921628" w14:paraId="4A88BB33" w14:textId="77777777" w:rsidTr="00AA7D60">
        <w:trPr>
          <w:trHeight w:val="690"/>
          <w:jc w:val="center"/>
        </w:trPr>
        <w:tc>
          <w:tcPr>
            <w:tcW w:w="2412" w:type="dxa"/>
            <w:tcBorders>
              <w:top w:val="single" w:sz="4" w:space="0" w:color="auto"/>
              <w:left w:val="single" w:sz="4" w:space="0" w:color="auto"/>
              <w:bottom w:val="single" w:sz="4" w:space="0" w:color="auto"/>
              <w:right w:val="single" w:sz="4" w:space="0" w:color="auto"/>
            </w:tcBorders>
          </w:tcPr>
          <w:p w14:paraId="01084965" w14:textId="77777777" w:rsidR="00921628" w:rsidRDefault="00921628" w:rsidP="00AA7D60">
            <w:pPr>
              <w:pStyle w:val="Listenabsatz"/>
              <w:tabs>
                <w:tab w:val="left" w:pos="176"/>
              </w:tabs>
              <w:spacing w:after="0" w:line="216" w:lineRule="auto"/>
              <w:ind w:left="176"/>
              <w:rPr>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14:paraId="35F46402" w14:textId="77777777" w:rsidR="00921628" w:rsidRDefault="00921628" w:rsidP="00AA7D60">
            <w:pPr>
              <w:spacing w:after="0" w:line="240" w:lineRule="auto"/>
              <w:jc w:val="both"/>
              <w:rPr>
                <w:rFonts w:cs="Arial"/>
                <w:sz w:val="18"/>
                <w:szCs w:val="18"/>
              </w:rPr>
            </w:pPr>
            <w:r>
              <w:rPr>
                <w:rFonts w:cs="Arial"/>
                <w:sz w:val="18"/>
                <w:szCs w:val="18"/>
              </w:rPr>
              <w:t>Ausgewählte Schlagtechniken aus versch. Positionen im Feld möglichst sicher und zielorientiert spielen können</w:t>
            </w:r>
          </w:p>
        </w:tc>
        <w:tc>
          <w:tcPr>
            <w:tcW w:w="2689" w:type="dxa"/>
            <w:tcBorders>
              <w:top w:val="single" w:sz="4" w:space="0" w:color="auto"/>
              <w:left w:val="single" w:sz="4" w:space="0" w:color="auto"/>
              <w:bottom w:val="single" w:sz="4" w:space="0" w:color="auto"/>
              <w:right w:val="single" w:sz="4" w:space="0" w:color="auto"/>
            </w:tcBorders>
          </w:tcPr>
          <w:p w14:paraId="7BAD8308" w14:textId="77777777" w:rsidR="00921628" w:rsidRDefault="00921628" w:rsidP="00AA7D60">
            <w:pPr>
              <w:pStyle w:val="berschrift2"/>
              <w:numPr>
                <w:ilvl w:val="0"/>
                <w:numId w:val="0"/>
              </w:numPr>
              <w:spacing w:before="0" w:line="216" w:lineRule="auto"/>
              <w:rPr>
                <w:rFonts w:ascii="Calibri" w:hAnsi="Calibri"/>
                <w:color w:val="auto"/>
                <w:sz w:val="20"/>
                <w:szCs w:val="20"/>
              </w:rPr>
            </w:pPr>
          </w:p>
        </w:tc>
      </w:tr>
      <w:tr w:rsidR="00921628" w14:paraId="4DD0E8F1" w14:textId="77777777" w:rsidTr="00AA7D60">
        <w:trPr>
          <w:trHeight w:val="1651"/>
          <w:jc w:val="center"/>
        </w:trPr>
        <w:tc>
          <w:tcPr>
            <w:tcW w:w="2412" w:type="dxa"/>
            <w:tcBorders>
              <w:top w:val="single" w:sz="4" w:space="0" w:color="auto"/>
              <w:left w:val="single" w:sz="4" w:space="0" w:color="auto"/>
              <w:bottom w:val="single" w:sz="4" w:space="0" w:color="auto"/>
              <w:right w:val="single" w:sz="4" w:space="0" w:color="auto"/>
            </w:tcBorders>
          </w:tcPr>
          <w:p w14:paraId="7A825F94" w14:textId="77777777" w:rsidR="00921628" w:rsidRDefault="00921628" w:rsidP="00AA7D60">
            <w:pPr>
              <w:pStyle w:val="Listenabsatz"/>
              <w:tabs>
                <w:tab w:val="left" w:pos="176"/>
              </w:tabs>
              <w:spacing w:after="0" w:line="216" w:lineRule="auto"/>
              <w:ind w:left="176"/>
              <w:rPr>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14:paraId="7699989D" w14:textId="77777777" w:rsidR="00921628" w:rsidRDefault="00921628" w:rsidP="00AA7D60">
            <w:pPr>
              <w:spacing w:before="60" w:after="60" w:line="240" w:lineRule="auto"/>
              <w:jc w:val="both"/>
              <w:rPr>
                <w:rFonts w:cs="Arial"/>
                <w:sz w:val="18"/>
                <w:szCs w:val="18"/>
              </w:rPr>
            </w:pPr>
            <w:r>
              <w:rPr>
                <w:rFonts w:cs="Arial"/>
                <w:sz w:val="18"/>
                <w:szCs w:val="18"/>
              </w:rPr>
              <w:t>Vorgegebene Individual- und Gruppentaktiken (Doppel) regelgerecht anwenden, um in der Offensive unterschiedliche Druckbedingungen (z. B. Präzisions-, Situations-, Komplexitäts-, Zeit, phys./psych. Belastungsdruck) aufbauen und in der Defensive auf unterschiedliche Druckbedingungen der Gegnerin bzw. des Gegners sachgerecht reagieren können</w:t>
            </w:r>
          </w:p>
        </w:tc>
        <w:tc>
          <w:tcPr>
            <w:tcW w:w="2689" w:type="dxa"/>
            <w:tcBorders>
              <w:top w:val="single" w:sz="4" w:space="0" w:color="auto"/>
              <w:left w:val="single" w:sz="4" w:space="0" w:color="auto"/>
              <w:bottom w:val="single" w:sz="4" w:space="0" w:color="auto"/>
              <w:right w:val="single" w:sz="4" w:space="0" w:color="auto"/>
            </w:tcBorders>
          </w:tcPr>
          <w:p w14:paraId="7D80B5F1" w14:textId="77777777" w:rsidR="00921628" w:rsidRDefault="00921628" w:rsidP="00AA7D60">
            <w:pPr>
              <w:pStyle w:val="berschrift2"/>
              <w:numPr>
                <w:ilvl w:val="0"/>
                <w:numId w:val="0"/>
              </w:numPr>
              <w:spacing w:before="0" w:line="216" w:lineRule="auto"/>
              <w:rPr>
                <w:rFonts w:ascii="Calibri" w:hAnsi="Calibri"/>
                <w:color w:val="auto"/>
                <w:sz w:val="20"/>
                <w:szCs w:val="20"/>
              </w:rPr>
            </w:pPr>
          </w:p>
        </w:tc>
      </w:tr>
      <w:tr w:rsidR="00921628" w14:paraId="0AD88BA7" w14:textId="77777777" w:rsidTr="00AA7D60">
        <w:trPr>
          <w:trHeight w:val="1031"/>
          <w:jc w:val="center"/>
        </w:trPr>
        <w:tc>
          <w:tcPr>
            <w:tcW w:w="2412" w:type="dxa"/>
            <w:tcBorders>
              <w:top w:val="single" w:sz="4" w:space="0" w:color="auto"/>
              <w:left w:val="single" w:sz="4" w:space="0" w:color="auto"/>
              <w:bottom w:val="single" w:sz="4" w:space="0" w:color="auto"/>
              <w:right w:val="single" w:sz="4" w:space="0" w:color="auto"/>
            </w:tcBorders>
          </w:tcPr>
          <w:p w14:paraId="62855245" w14:textId="77777777" w:rsidR="00921628" w:rsidRDefault="00921628" w:rsidP="00AA7D60">
            <w:pPr>
              <w:pStyle w:val="Listenabsatz"/>
              <w:tabs>
                <w:tab w:val="left" w:pos="176"/>
              </w:tabs>
              <w:spacing w:after="0" w:line="216" w:lineRule="auto"/>
              <w:ind w:left="176"/>
              <w:rPr>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14:paraId="2FB21069" w14:textId="77777777" w:rsidR="00921628" w:rsidRDefault="00921628" w:rsidP="000D330E">
            <w:pPr>
              <w:spacing w:before="20" w:after="0" w:line="216" w:lineRule="auto"/>
              <w:ind w:left="27"/>
              <w:jc w:val="both"/>
              <w:rPr>
                <w:rFonts w:cs="Arial"/>
                <w:sz w:val="18"/>
                <w:szCs w:val="18"/>
              </w:rPr>
            </w:pPr>
            <w:r>
              <w:rPr>
                <w:rFonts w:cs="Arial"/>
                <w:sz w:val="18"/>
                <w:szCs w:val="18"/>
              </w:rPr>
              <w:t>Badmintonspezifische psychische Belastungen im Spiel erkennen und sachgerecht darauf reagieren (z. B. äußere/innere Ablenkung vermeiden, mit Anspannung/Nervosität sachgerecht umgehen sowie im Doppel Mitverantwortung übernehmen und mit dem Doppelpartner oder der Doppelpartnerin verbal zielorientiert im Spiel kommunizieren) können</w:t>
            </w:r>
          </w:p>
        </w:tc>
        <w:tc>
          <w:tcPr>
            <w:tcW w:w="2689" w:type="dxa"/>
            <w:tcBorders>
              <w:top w:val="single" w:sz="4" w:space="0" w:color="auto"/>
              <w:left w:val="single" w:sz="4" w:space="0" w:color="auto"/>
              <w:bottom w:val="single" w:sz="4" w:space="0" w:color="auto"/>
              <w:right w:val="single" w:sz="4" w:space="0" w:color="auto"/>
            </w:tcBorders>
          </w:tcPr>
          <w:p w14:paraId="5D2C62D6" w14:textId="77777777" w:rsidR="00921628" w:rsidRDefault="00921628" w:rsidP="00AA7D60">
            <w:pPr>
              <w:pStyle w:val="berschrift2"/>
              <w:numPr>
                <w:ilvl w:val="0"/>
                <w:numId w:val="0"/>
              </w:numPr>
              <w:spacing w:before="0" w:line="216" w:lineRule="auto"/>
              <w:rPr>
                <w:rFonts w:ascii="Calibri" w:hAnsi="Calibri"/>
                <w:color w:val="auto"/>
                <w:sz w:val="20"/>
                <w:szCs w:val="20"/>
              </w:rPr>
            </w:pPr>
          </w:p>
        </w:tc>
      </w:tr>
      <w:tr w:rsidR="00921628" w14:paraId="26DC753C" w14:textId="77777777" w:rsidTr="00AA7D60">
        <w:trPr>
          <w:trHeight w:val="495"/>
          <w:jc w:val="center"/>
        </w:trPr>
        <w:tc>
          <w:tcPr>
            <w:tcW w:w="2412" w:type="dxa"/>
            <w:tcBorders>
              <w:top w:val="single" w:sz="4" w:space="0" w:color="auto"/>
              <w:left w:val="single" w:sz="4" w:space="0" w:color="auto"/>
              <w:bottom w:val="single" w:sz="4" w:space="0" w:color="auto"/>
              <w:right w:val="single" w:sz="4" w:space="0" w:color="auto"/>
            </w:tcBorders>
          </w:tcPr>
          <w:p w14:paraId="30724C54" w14:textId="77777777" w:rsidR="00921628" w:rsidRDefault="00921628" w:rsidP="00AA7D60">
            <w:pPr>
              <w:pStyle w:val="Listenabsatz"/>
              <w:tabs>
                <w:tab w:val="left" w:pos="176"/>
              </w:tabs>
              <w:spacing w:after="0" w:line="216" w:lineRule="auto"/>
              <w:ind w:left="176"/>
              <w:rPr>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14:paraId="2BE6F102" w14:textId="77777777" w:rsidR="00921628" w:rsidRDefault="00921628" w:rsidP="00AA7D60">
            <w:pPr>
              <w:spacing w:before="60" w:after="60" w:line="216" w:lineRule="auto"/>
              <w:jc w:val="both"/>
              <w:rPr>
                <w:rFonts w:cs="Arial"/>
                <w:sz w:val="18"/>
                <w:szCs w:val="18"/>
              </w:rPr>
            </w:pPr>
            <w:r>
              <w:rPr>
                <w:rFonts w:cs="Arial"/>
                <w:sz w:val="18"/>
                <w:szCs w:val="18"/>
              </w:rPr>
              <w:t>Motiviertes, sozial angemessenes und faires Verhalten zeigen können</w:t>
            </w:r>
          </w:p>
        </w:tc>
        <w:tc>
          <w:tcPr>
            <w:tcW w:w="2689" w:type="dxa"/>
            <w:tcBorders>
              <w:top w:val="single" w:sz="4" w:space="0" w:color="auto"/>
              <w:left w:val="single" w:sz="4" w:space="0" w:color="auto"/>
              <w:bottom w:val="single" w:sz="4" w:space="0" w:color="auto"/>
              <w:right w:val="single" w:sz="4" w:space="0" w:color="auto"/>
            </w:tcBorders>
          </w:tcPr>
          <w:p w14:paraId="55B89FEF" w14:textId="77777777" w:rsidR="00921628" w:rsidRDefault="00921628" w:rsidP="00AA7D60">
            <w:pPr>
              <w:pStyle w:val="berschrift2"/>
              <w:numPr>
                <w:ilvl w:val="0"/>
                <w:numId w:val="0"/>
              </w:numPr>
              <w:spacing w:before="0" w:line="216" w:lineRule="auto"/>
              <w:rPr>
                <w:rFonts w:ascii="Calibri" w:hAnsi="Calibri"/>
                <w:color w:val="auto"/>
                <w:sz w:val="20"/>
                <w:szCs w:val="20"/>
              </w:rPr>
            </w:pPr>
          </w:p>
        </w:tc>
      </w:tr>
      <w:tr w:rsidR="00921628" w14:paraId="2223F480" w14:textId="77777777" w:rsidTr="00AA7D60">
        <w:trPr>
          <w:trHeight w:val="425"/>
          <w:jc w:val="center"/>
        </w:trPr>
        <w:tc>
          <w:tcPr>
            <w:tcW w:w="2412" w:type="dxa"/>
            <w:tcBorders>
              <w:top w:val="single" w:sz="4" w:space="0" w:color="auto"/>
              <w:left w:val="single" w:sz="4" w:space="0" w:color="auto"/>
              <w:bottom w:val="single" w:sz="4" w:space="0" w:color="auto"/>
              <w:right w:val="nil"/>
            </w:tcBorders>
            <w:vAlign w:val="center"/>
          </w:tcPr>
          <w:p w14:paraId="728A375D" w14:textId="77777777" w:rsidR="00921628" w:rsidRDefault="00921628" w:rsidP="00AA7D60">
            <w:pPr>
              <w:tabs>
                <w:tab w:val="left" w:pos="176"/>
              </w:tabs>
              <w:spacing w:after="0" w:line="216" w:lineRule="auto"/>
              <w:rPr>
                <w:sz w:val="24"/>
                <w:szCs w:val="24"/>
              </w:rPr>
            </w:pPr>
          </w:p>
        </w:tc>
        <w:tc>
          <w:tcPr>
            <w:tcW w:w="4680" w:type="dxa"/>
            <w:tcBorders>
              <w:top w:val="single" w:sz="4" w:space="0" w:color="auto"/>
              <w:left w:val="nil"/>
              <w:bottom w:val="single" w:sz="4" w:space="0" w:color="auto"/>
              <w:right w:val="nil"/>
            </w:tcBorders>
            <w:vAlign w:val="center"/>
            <w:hideMark/>
          </w:tcPr>
          <w:p w14:paraId="3B7AF04F" w14:textId="77777777" w:rsidR="00921628" w:rsidRDefault="00921628" w:rsidP="00AA7D60">
            <w:pPr>
              <w:pStyle w:val="Listenabsatz"/>
              <w:tabs>
                <w:tab w:val="left" w:pos="176"/>
              </w:tabs>
              <w:spacing w:after="0" w:line="216" w:lineRule="auto"/>
              <w:ind w:left="0"/>
              <w:jc w:val="right"/>
              <w:rPr>
                <w:sz w:val="16"/>
                <w:szCs w:val="16"/>
              </w:rPr>
            </w:pPr>
            <w:r>
              <w:rPr>
                <w:b/>
                <w:sz w:val="24"/>
                <w:szCs w:val="24"/>
              </w:rPr>
              <w:t>Notenpunkte 2. Prüfungsteil:</w:t>
            </w:r>
          </w:p>
        </w:tc>
        <w:tc>
          <w:tcPr>
            <w:tcW w:w="2689" w:type="dxa"/>
            <w:tcBorders>
              <w:top w:val="single" w:sz="4" w:space="0" w:color="auto"/>
              <w:left w:val="nil"/>
              <w:bottom w:val="single" w:sz="4" w:space="0" w:color="auto"/>
              <w:right w:val="single" w:sz="4" w:space="0" w:color="auto"/>
            </w:tcBorders>
            <w:vAlign w:val="center"/>
          </w:tcPr>
          <w:p w14:paraId="7661D48C" w14:textId="77777777" w:rsidR="00921628" w:rsidRDefault="00921628" w:rsidP="00AA7D60">
            <w:pPr>
              <w:pStyle w:val="berschrift2"/>
              <w:numPr>
                <w:ilvl w:val="0"/>
                <w:numId w:val="0"/>
              </w:numPr>
              <w:spacing w:before="0" w:line="216" w:lineRule="auto"/>
              <w:rPr>
                <w:color w:val="auto"/>
                <w:sz w:val="20"/>
                <w:szCs w:val="20"/>
              </w:rPr>
            </w:pPr>
          </w:p>
        </w:tc>
      </w:tr>
      <w:tr w:rsidR="00921628" w14:paraId="4558FC23" w14:textId="77777777" w:rsidTr="00AA7D60">
        <w:trPr>
          <w:trHeight w:val="383"/>
          <w:jc w:val="center"/>
        </w:trPr>
        <w:tc>
          <w:tcPr>
            <w:tcW w:w="2412" w:type="dxa"/>
            <w:tcBorders>
              <w:top w:val="single" w:sz="4" w:space="0" w:color="auto"/>
              <w:left w:val="nil"/>
              <w:bottom w:val="nil"/>
              <w:right w:val="nil"/>
            </w:tcBorders>
            <w:vAlign w:val="bottom"/>
          </w:tcPr>
          <w:p w14:paraId="58678CDE" w14:textId="77777777" w:rsidR="00921628" w:rsidRDefault="00921628" w:rsidP="00AA7D60">
            <w:pPr>
              <w:tabs>
                <w:tab w:val="left" w:pos="176"/>
              </w:tabs>
              <w:spacing w:after="0" w:line="216" w:lineRule="auto"/>
              <w:jc w:val="right"/>
              <w:rPr>
                <w:b/>
                <w:sz w:val="24"/>
                <w:szCs w:val="24"/>
              </w:rPr>
            </w:pPr>
          </w:p>
        </w:tc>
        <w:tc>
          <w:tcPr>
            <w:tcW w:w="4680" w:type="dxa"/>
            <w:tcBorders>
              <w:top w:val="single" w:sz="4" w:space="0" w:color="auto"/>
              <w:left w:val="nil"/>
              <w:bottom w:val="nil"/>
              <w:right w:val="nil"/>
            </w:tcBorders>
            <w:vAlign w:val="bottom"/>
            <w:hideMark/>
          </w:tcPr>
          <w:p w14:paraId="17940D99" w14:textId="77777777" w:rsidR="00921628" w:rsidRDefault="00921628" w:rsidP="00AA7D60">
            <w:pPr>
              <w:pStyle w:val="Listenabsatz"/>
              <w:tabs>
                <w:tab w:val="left" w:pos="176"/>
              </w:tabs>
              <w:spacing w:after="0" w:line="216" w:lineRule="auto"/>
              <w:ind w:left="0"/>
              <w:jc w:val="right"/>
              <w:rPr>
                <w:sz w:val="16"/>
                <w:szCs w:val="16"/>
              </w:rPr>
            </w:pPr>
            <w:r>
              <w:rPr>
                <w:b/>
                <w:sz w:val="24"/>
                <w:szCs w:val="24"/>
              </w:rPr>
              <w:t>GESAMTNOTE (ggf. Tendenz):</w:t>
            </w:r>
          </w:p>
        </w:tc>
        <w:tc>
          <w:tcPr>
            <w:tcW w:w="2689" w:type="dxa"/>
            <w:tcBorders>
              <w:top w:val="single" w:sz="4" w:space="0" w:color="auto"/>
              <w:left w:val="nil"/>
              <w:bottom w:val="nil"/>
              <w:right w:val="nil"/>
            </w:tcBorders>
            <w:vAlign w:val="bottom"/>
          </w:tcPr>
          <w:p w14:paraId="25DA5E1B" w14:textId="77777777" w:rsidR="00921628" w:rsidRDefault="00921628" w:rsidP="00AA7D60">
            <w:pPr>
              <w:pStyle w:val="berschrift2"/>
              <w:numPr>
                <w:ilvl w:val="0"/>
                <w:numId w:val="0"/>
              </w:numPr>
              <w:spacing w:before="0" w:line="216" w:lineRule="auto"/>
              <w:jc w:val="right"/>
              <w:rPr>
                <w:rFonts w:ascii="Calibri" w:hAnsi="Calibri"/>
                <w:color w:val="auto"/>
                <w:sz w:val="20"/>
                <w:szCs w:val="20"/>
              </w:rPr>
            </w:pPr>
          </w:p>
        </w:tc>
      </w:tr>
    </w:tbl>
    <w:p w14:paraId="2708DAE5" w14:textId="77777777" w:rsidR="00BD0D15" w:rsidRDefault="00C271E3" w:rsidP="000D330E"/>
    <w:sectPr w:rsidR="00BD0D15" w:rsidSect="00921628">
      <w:pgSz w:w="11906" w:h="16838"/>
      <w:pgMar w:top="7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1E475" w14:textId="77777777" w:rsidR="00C271E3" w:rsidRDefault="00C271E3" w:rsidP="00921628">
      <w:pPr>
        <w:spacing w:after="0" w:line="240" w:lineRule="auto"/>
      </w:pPr>
      <w:r>
        <w:separator/>
      </w:r>
    </w:p>
  </w:endnote>
  <w:endnote w:type="continuationSeparator" w:id="0">
    <w:p w14:paraId="263C8E1C" w14:textId="77777777" w:rsidR="00C271E3" w:rsidRDefault="00C271E3" w:rsidP="0092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8780" w14:textId="77777777" w:rsidR="00C271E3" w:rsidRDefault="00C271E3" w:rsidP="00921628">
      <w:pPr>
        <w:spacing w:after="0" w:line="240" w:lineRule="auto"/>
      </w:pPr>
      <w:r>
        <w:separator/>
      </w:r>
    </w:p>
  </w:footnote>
  <w:footnote w:type="continuationSeparator" w:id="0">
    <w:p w14:paraId="6BA12A09" w14:textId="77777777" w:rsidR="00C271E3" w:rsidRDefault="00C271E3" w:rsidP="00921628">
      <w:pPr>
        <w:spacing w:after="0" w:line="240" w:lineRule="auto"/>
      </w:pPr>
      <w:r>
        <w:continuationSeparator/>
      </w:r>
    </w:p>
  </w:footnote>
  <w:footnote w:id="1">
    <w:p w14:paraId="01CDABC0" w14:textId="77777777" w:rsidR="00921628" w:rsidRDefault="00921628" w:rsidP="00921628">
      <w:pPr>
        <w:pStyle w:val="Funotentext"/>
        <w:rPr>
          <w:sz w:val="18"/>
          <w:szCs w:val="18"/>
        </w:rPr>
      </w:pPr>
      <w:r>
        <w:rPr>
          <w:rStyle w:val="Funotenzeichen"/>
        </w:rPr>
        <w:footnoteRef/>
      </w:r>
      <w:r>
        <w:rPr>
          <w:sz w:val="18"/>
          <w:szCs w:val="18"/>
        </w:rPr>
        <w:t>vgl. Prüfungsanforderungen, Heft 4734/2 (Anlage zum Kernlehrplan Sport SII)</w:t>
      </w:r>
    </w:p>
  </w:footnote>
  <w:footnote w:id="2">
    <w:p w14:paraId="4A42A0D8" w14:textId="77777777" w:rsidR="00921628" w:rsidRDefault="00921628" w:rsidP="00921628">
      <w:pPr>
        <w:pStyle w:val="Funotentext"/>
        <w:rPr>
          <w:sz w:val="18"/>
          <w:szCs w:val="18"/>
        </w:rPr>
      </w:pPr>
      <w:r>
        <w:rPr>
          <w:rStyle w:val="Funotenzeichen"/>
          <w:sz w:val="16"/>
          <w:szCs w:val="16"/>
        </w:rPr>
        <w:footnoteRef/>
      </w:r>
      <w:r>
        <w:rPr>
          <w:sz w:val="18"/>
          <w:szCs w:val="18"/>
        </w:rPr>
        <w:t>vgl. Ergänzende Hinweise, Heft 4734/21 (Anlage zum Heft 4734/2)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56E8"/>
    <w:multiLevelType w:val="hybridMultilevel"/>
    <w:tmpl w:val="8010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645AB6"/>
    <w:multiLevelType w:val="hybridMultilevel"/>
    <w:tmpl w:val="8C4EF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48CB501F"/>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28"/>
    <w:rsid w:val="00001694"/>
    <w:rsid w:val="000B37D5"/>
    <w:rsid w:val="000D330E"/>
    <w:rsid w:val="00156D72"/>
    <w:rsid w:val="001C0BE7"/>
    <w:rsid w:val="0020430C"/>
    <w:rsid w:val="00465A5D"/>
    <w:rsid w:val="00467021"/>
    <w:rsid w:val="0054079B"/>
    <w:rsid w:val="00545AA8"/>
    <w:rsid w:val="005565AF"/>
    <w:rsid w:val="00704F31"/>
    <w:rsid w:val="00770C5F"/>
    <w:rsid w:val="00862032"/>
    <w:rsid w:val="008E67E1"/>
    <w:rsid w:val="00912B65"/>
    <w:rsid w:val="0091535C"/>
    <w:rsid w:val="00921628"/>
    <w:rsid w:val="00940999"/>
    <w:rsid w:val="00AF5FCE"/>
    <w:rsid w:val="00BB4E90"/>
    <w:rsid w:val="00BE7FD9"/>
    <w:rsid w:val="00C13F73"/>
    <w:rsid w:val="00C271E3"/>
    <w:rsid w:val="00CF1725"/>
    <w:rsid w:val="00E24A6C"/>
    <w:rsid w:val="00E9499C"/>
    <w:rsid w:val="00EB7321"/>
    <w:rsid w:val="00F70762"/>
    <w:rsid w:val="00F82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DD0A"/>
  <w15:chartTrackingRefBased/>
  <w15:docId w15:val="{4252C866-D627-43A7-92B6-4332E8C3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1628"/>
    <w:pPr>
      <w:keepNext/>
      <w:keepLines/>
      <w:numPr>
        <w:numId w:val="1"/>
      </w:numPr>
      <w:spacing w:before="240" w:after="0"/>
      <w:outlineLvl w:val="0"/>
    </w:pPr>
    <w:rPr>
      <w:rFonts w:ascii="Calibri Light" w:eastAsia="Times New Roman" w:hAnsi="Calibri Light" w:cs="Times New Roman"/>
      <w:color w:val="2E74B5"/>
      <w:sz w:val="32"/>
      <w:szCs w:val="32"/>
    </w:rPr>
  </w:style>
  <w:style w:type="paragraph" w:styleId="berschrift2">
    <w:name w:val="heading 2"/>
    <w:basedOn w:val="Standard"/>
    <w:next w:val="Standard"/>
    <w:link w:val="berschrift2Zchn"/>
    <w:uiPriority w:val="9"/>
    <w:unhideWhenUsed/>
    <w:qFormat/>
    <w:rsid w:val="00921628"/>
    <w:pPr>
      <w:keepNext/>
      <w:keepLines/>
      <w:numPr>
        <w:ilvl w:val="1"/>
        <w:numId w:val="1"/>
      </w:numPr>
      <w:spacing w:before="40" w:after="0"/>
      <w:outlineLvl w:val="1"/>
    </w:pPr>
    <w:rPr>
      <w:rFonts w:ascii="Calibri Light" w:eastAsia="Times New Roman" w:hAnsi="Calibri Light" w:cs="Times New Roman"/>
      <w:color w:val="2E74B5"/>
      <w:sz w:val="26"/>
      <w:szCs w:val="26"/>
    </w:rPr>
  </w:style>
  <w:style w:type="paragraph" w:styleId="berschrift3">
    <w:name w:val="heading 3"/>
    <w:basedOn w:val="Standard"/>
    <w:next w:val="Standard"/>
    <w:link w:val="berschrift3Zchn"/>
    <w:uiPriority w:val="9"/>
    <w:unhideWhenUsed/>
    <w:qFormat/>
    <w:rsid w:val="00921628"/>
    <w:pPr>
      <w:keepNext/>
      <w:keepLines/>
      <w:numPr>
        <w:ilvl w:val="2"/>
        <w:numId w:val="1"/>
      </w:numPr>
      <w:spacing w:before="40" w:after="0"/>
      <w:outlineLvl w:val="2"/>
    </w:pPr>
    <w:rPr>
      <w:rFonts w:ascii="Calibri Light" w:eastAsia="Times New Roman" w:hAnsi="Calibri Light" w:cs="Times New Roman"/>
      <w:color w:val="1F4D78"/>
      <w:sz w:val="24"/>
      <w:szCs w:val="24"/>
    </w:rPr>
  </w:style>
  <w:style w:type="paragraph" w:styleId="berschrift4">
    <w:name w:val="heading 4"/>
    <w:basedOn w:val="Standard"/>
    <w:next w:val="Standard"/>
    <w:link w:val="berschrift4Zchn"/>
    <w:uiPriority w:val="9"/>
    <w:semiHidden/>
    <w:unhideWhenUsed/>
    <w:qFormat/>
    <w:rsid w:val="00921628"/>
    <w:pPr>
      <w:keepNext/>
      <w:keepLines/>
      <w:numPr>
        <w:ilvl w:val="3"/>
        <w:numId w:val="1"/>
      </w:numPr>
      <w:spacing w:before="40" w:after="0"/>
      <w:outlineLvl w:val="3"/>
    </w:pPr>
    <w:rPr>
      <w:rFonts w:ascii="Calibri Light" w:eastAsia="Times New Roman" w:hAnsi="Calibri Light" w:cs="Times New Roman"/>
      <w:i/>
      <w:iCs/>
      <w:color w:val="2E74B5"/>
    </w:rPr>
  </w:style>
  <w:style w:type="paragraph" w:styleId="berschrift5">
    <w:name w:val="heading 5"/>
    <w:basedOn w:val="Standard"/>
    <w:next w:val="Standard"/>
    <w:link w:val="berschrift5Zchn"/>
    <w:uiPriority w:val="9"/>
    <w:semiHidden/>
    <w:unhideWhenUsed/>
    <w:qFormat/>
    <w:rsid w:val="00921628"/>
    <w:pPr>
      <w:keepNext/>
      <w:keepLines/>
      <w:numPr>
        <w:ilvl w:val="4"/>
        <w:numId w:val="1"/>
      </w:numPr>
      <w:spacing w:before="40" w:after="0"/>
      <w:outlineLvl w:val="4"/>
    </w:pPr>
    <w:rPr>
      <w:rFonts w:ascii="Calibri Light" w:eastAsia="Times New Roman" w:hAnsi="Calibri Light" w:cs="Times New Roman"/>
      <w:color w:val="2E74B5"/>
    </w:rPr>
  </w:style>
  <w:style w:type="paragraph" w:styleId="berschrift6">
    <w:name w:val="heading 6"/>
    <w:basedOn w:val="Standard"/>
    <w:next w:val="Standard"/>
    <w:link w:val="berschrift6Zchn"/>
    <w:uiPriority w:val="9"/>
    <w:semiHidden/>
    <w:unhideWhenUsed/>
    <w:qFormat/>
    <w:rsid w:val="00921628"/>
    <w:pPr>
      <w:keepNext/>
      <w:keepLines/>
      <w:numPr>
        <w:ilvl w:val="5"/>
        <w:numId w:val="1"/>
      </w:numPr>
      <w:spacing w:before="40" w:after="0"/>
      <w:outlineLvl w:val="5"/>
    </w:pPr>
    <w:rPr>
      <w:rFonts w:ascii="Calibri Light" w:eastAsia="Times New Roman" w:hAnsi="Calibri Light" w:cs="Times New Roman"/>
      <w:color w:val="1F4D78"/>
    </w:rPr>
  </w:style>
  <w:style w:type="paragraph" w:styleId="berschrift7">
    <w:name w:val="heading 7"/>
    <w:basedOn w:val="Standard"/>
    <w:next w:val="Standard"/>
    <w:link w:val="berschrift7Zchn"/>
    <w:uiPriority w:val="9"/>
    <w:semiHidden/>
    <w:unhideWhenUsed/>
    <w:qFormat/>
    <w:rsid w:val="00921628"/>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berschrift8">
    <w:name w:val="heading 8"/>
    <w:basedOn w:val="Standard"/>
    <w:next w:val="Standard"/>
    <w:link w:val="berschrift8Zchn"/>
    <w:uiPriority w:val="9"/>
    <w:semiHidden/>
    <w:unhideWhenUsed/>
    <w:qFormat/>
    <w:rsid w:val="00921628"/>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berschrift9">
    <w:name w:val="heading 9"/>
    <w:basedOn w:val="Standard"/>
    <w:next w:val="Standard"/>
    <w:link w:val="berschrift9Zchn"/>
    <w:uiPriority w:val="9"/>
    <w:semiHidden/>
    <w:unhideWhenUsed/>
    <w:qFormat/>
    <w:rsid w:val="00921628"/>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1628"/>
    <w:rPr>
      <w:rFonts w:ascii="Calibri Light" w:eastAsia="Times New Roman" w:hAnsi="Calibri Light" w:cs="Times New Roman"/>
      <w:color w:val="2E74B5"/>
      <w:sz w:val="32"/>
      <w:szCs w:val="32"/>
    </w:rPr>
  </w:style>
  <w:style w:type="character" w:customStyle="1" w:styleId="berschrift2Zchn">
    <w:name w:val="Überschrift 2 Zchn"/>
    <w:basedOn w:val="Absatz-Standardschriftart"/>
    <w:link w:val="berschrift2"/>
    <w:uiPriority w:val="9"/>
    <w:rsid w:val="00921628"/>
    <w:rPr>
      <w:rFonts w:ascii="Calibri Light" w:eastAsia="Times New Roman" w:hAnsi="Calibri Light" w:cs="Times New Roman"/>
      <w:color w:val="2E74B5"/>
      <w:sz w:val="26"/>
      <w:szCs w:val="26"/>
    </w:rPr>
  </w:style>
  <w:style w:type="character" w:customStyle="1" w:styleId="berschrift3Zchn">
    <w:name w:val="Überschrift 3 Zchn"/>
    <w:basedOn w:val="Absatz-Standardschriftart"/>
    <w:link w:val="berschrift3"/>
    <w:uiPriority w:val="9"/>
    <w:rsid w:val="00921628"/>
    <w:rPr>
      <w:rFonts w:ascii="Calibri Light" w:eastAsia="Times New Roman" w:hAnsi="Calibri Light" w:cs="Times New Roman"/>
      <w:color w:val="1F4D78"/>
      <w:sz w:val="24"/>
      <w:szCs w:val="24"/>
    </w:rPr>
  </w:style>
  <w:style w:type="character" w:customStyle="1" w:styleId="berschrift4Zchn">
    <w:name w:val="Überschrift 4 Zchn"/>
    <w:basedOn w:val="Absatz-Standardschriftart"/>
    <w:link w:val="berschrift4"/>
    <w:uiPriority w:val="9"/>
    <w:semiHidden/>
    <w:rsid w:val="00921628"/>
    <w:rPr>
      <w:rFonts w:ascii="Calibri Light" w:eastAsia="Times New Roman" w:hAnsi="Calibri Light" w:cs="Times New Roman"/>
      <w:i/>
      <w:iCs/>
      <w:color w:val="2E74B5"/>
    </w:rPr>
  </w:style>
  <w:style w:type="character" w:customStyle="1" w:styleId="berschrift5Zchn">
    <w:name w:val="Überschrift 5 Zchn"/>
    <w:basedOn w:val="Absatz-Standardschriftart"/>
    <w:link w:val="berschrift5"/>
    <w:uiPriority w:val="9"/>
    <w:semiHidden/>
    <w:rsid w:val="00921628"/>
    <w:rPr>
      <w:rFonts w:ascii="Calibri Light" w:eastAsia="Times New Roman" w:hAnsi="Calibri Light" w:cs="Times New Roman"/>
      <w:color w:val="2E74B5"/>
    </w:rPr>
  </w:style>
  <w:style w:type="character" w:customStyle="1" w:styleId="berschrift6Zchn">
    <w:name w:val="Überschrift 6 Zchn"/>
    <w:basedOn w:val="Absatz-Standardschriftart"/>
    <w:link w:val="berschrift6"/>
    <w:uiPriority w:val="9"/>
    <w:semiHidden/>
    <w:rsid w:val="00921628"/>
    <w:rPr>
      <w:rFonts w:ascii="Calibri Light" w:eastAsia="Times New Roman" w:hAnsi="Calibri Light" w:cs="Times New Roman"/>
      <w:color w:val="1F4D78"/>
    </w:rPr>
  </w:style>
  <w:style w:type="character" w:customStyle="1" w:styleId="berschrift7Zchn">
    <w:name w:val="Überschrift 7 Zchn"/>
    <w:basedOn w:val="Absatz-Standardschriftart"/>
    <w:link w:val="berschrift7"/>
    <w:uiPriority w:val="9"/>
    <w:semiHidden/>
    <w:rsid w:val="00921628"/>
    <w:rPr>
      <w:rFonts w:ascii="Calibri Light" w:eastAsia="Times New Roman" w:hAnsi="Calibri Light" w:cs="Times New Roman"/>
      <w:i/>
      <w:iCs/>
      <w:color w:val="1F4D78"/>
    </w:rPr>
  </w:style>
  <w:style w:type="character" w:customStyle="1" w:styleId="berschrift8Zchn">
    <w:name w:val="Überschrift 8 Zchn"/>
    <w:basedOn w:val="Absatz-Standardschriftart"/>
    <w:link w:val="berschrift8"/>
    <w:uiPriority w:val="9"/>
    <w:semiHidden/>
    <w:rsid w:val="00921628"/>
    <w:rPr>
      <w:rFonts w:ascii="Calibri Light" w:eastAsia="Times New Roman" w:hAnsi="Calibri Light" w:cs="Times New Roman"/>
      <w:color w:val="272727"/>
      <w:sz w:val="21"/>
      <w:szCs w:val="21"/>
    </w:rPr>
  </w:style>
  <w:style w:type="character" w:customStyle="1" w:styleId="berschrift9Zchn">
    <w:name w:val="Überschrift 9 Zchn"/>
    <w:basedOn w:val="Absatz-Standardschriftart"/>
    <w:link w:val="berschrift9"/>
    <w:uiPriority w:val="9"/>
    <w:semiHidden/>
    <w:rsid w:val="00921628"/>
    <w:rPr>
      <w:rFonts w:ascii="Calibri Light" w:eastAsia="Times New Roman" w:hAnsi="Calibri Light" w:cs="Times New Roman"/>
      <w:i/>
      <w:iCs/>
      <w:color w:val="272727"/>
      <w:sz w:val="21"/>
      <w:szCs w:val="21"/>
    </w:rPr>
  </w:style>
  <w:style w:type="paragraph" w:styleId="Listenabsatz">
    <w:name w:val="List Paragraph"/>
    <w:basedOn w:val="Standard"/>
    <w:uiPriority w:val="34"/>
    <w:qFormat/>
    <w:rsid w:val="00921628"/>
    <w:pPr>
      <w:ind w:left="720"/>
      <w:contextualSpacing/>
    </w:pPr>
    <w:rPr>
      <w:rFonts w:ascii="Calibri" w:eastAsia="Calibri" w:hAnsi="Calibri" w:cs="Times New Roman"/>
    </w:rPr>
  </w:style>
  <w:style w:type="table" w:styleId="Tabellenraster">
    <w:name w:val="Table Grid"/>
    <w:basedOn w:val="NormaleTabelle"/>
    <w:uiPriority w:val="39"/>
    <w:rsid w:val="0092162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921628"/>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semiHidden/>
    <w:rsid w:val="00921628"/>
    <w:rPr>
      <w:rFonts w:ascii="Calibri" w:eastAsia="Calibri" w:hAnsi="Calibri" w:cs="Times New Roman"/>
      <w:sz w:val="20"/>
      <w:szCs w:val="20"/>
    </w:rPr>
  </w:style>
  <w:style w:type="character" w:styleId="Funotenzeichen">
    <w:name w:val="footnote reference"/>
    <w:semiHidden/>
    <w:unhideWhenUsed/>
    <w:rsid w:val="00921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10307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jimboberger@gmail.com</dc:creator>
  <cp:keywords/>
  <dc:description/>
  <cp:lastModifiedBy>Oliver Peters</cp:lastModifiedBy>
  <cp:revision>3</cp:revision>
  <dcterms:created xsi:type="dcterms:W3CDTF">2020-11-10T13:43:00Z</dcterms:created>
  <dcterms:modified xsi:type="dcterms:W3CDTF">2021-01-21T15:12:00Z</dcterms:modified>
</cp:coreProperties>
</file>