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56" w:rsidRDefault="008215CC" w:rsidP="0044273B">
      <w:pPr>
        <w:ind w:left="709" w:hanging="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D2 </w:t>
      </w:r>
      <w:r>
        <w:rPr>
          <w:b/>
          <w:sz w:val="28"/>
          <w:szCs w:val="28"/>
        </w:rPr>
        <w:tab/>
      </w:r>
      <w:r w:rsidR="0044273B">
        <w:rPr>
          <w:b/>
          <w:sz w:val="28"/>
          <w:szCs w:val="28"/>
        </w:rPr>
        <w:t xml:space="preserve">Beobachten </w:t>
      </w:r>
      <w:r w:rsidR="000E3556" w:rsidRPr="000E3556">
        <w:rPr>
          <w:b/>
          <w:sz w:val="28"/>
          <w:szCs w:val="28"/>
        </w:rPr>
        <w:t>eines Experiments zur N</w:t>
      </w:r>
      <w:r>
        <w:rPr>
          <w:b/>
          <w:sz w:val="28"/>
          <w:szCs w:val="28"/>
        </w:rPr>
        <w:t xml:space="preserve">eutralisation </w:t>
      </w:r>
      <w:r w:rsidR="00CA142D">
        <w:rPr>
          <w:b/>
          <w:sz w:val="28"/>
          <w:szCs w:val="28"/>
        </w:rPr>
        <w:t xml:space="preserve">am Beispiel </w:t>
      </w:r>
      <w:r>
        <w:rPr>
          <w:b/>
          <w:sz w:val="28"/>
          <w:szCs w:val="28"/>
        </w:rPr>
        <w:t xml:space="preserve">von </w:t>
      </w:r>
      <w:r w:rsidR="000E3556" w:rsidRPr="000E3556">
        <w:rPr>
          <w:b/>
          <w:sz w:val="28"/>
          <w:szCs w:val="28"/>
        </w:rPr>
        <w:t>Natronlauge</w:t>
      </w:r>
      <w:r w:rsidR="00CA142D">
        <w:rPr>
          <w:b/>
          <w:sz w:val="28"/>
          <w:szCs w:val="28"/>
        </w:rPr>
        <w:t xml:space="preserve"> und Salzsäure</w:t>
      </w:r>
    </w:p>
    <w:p w:rsidR="006B4A6F" w:rsidRDefault="0005463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Erklärvideo</w:t>
      </w:r>
      <w:r w:rsidR="007D073F">
        <w:rPr>
          <w:b/>
          <w:sz w:val="28"/>
          <w:szCs w:val="28"/>
        </w:rPr>
        <w:t>s</w:t>
      </w:r>
      <w:proofErr w:type="spellEnd"/>
      <w:r w:rsidR="007C4DF8">
        <w:rPr>
          <w:b/>
          <w:sz w:val="28"/>
          <w:szCs w:val="28"/>
        </w:rPr>
        <w:t xml:space="preserve"> zum Experiment</w:t>
      </w:r>
      <w:r w:rsidR="0039588C">
        <w:rPr>
          <w:b/>
          <w:sz w:val="28"/>
          <w:szCs w:val="28"/>
        </w:rPr>
        <w:t xml:space="preserve"> „</w:t>
      </w:r>
      <w:r w:rsidR="00CA142D">
        <w:rPr>
          <w:b/>
          <w:sz w:val="28"/>
          <w:szCs w:val="28"/>
        </w:rPr>
        <w:t xml:space="preserve">Die </w:t>
      </w:r>
      <w:r w:rsidR="0039588C">
        <w:rPr>
          <w:b/>
          <w:sz w:val="28"/>
          <w:szCs w:val="28"/>
        </w:rPr>
        <w:t xml:space="preserve">Neutralisation </w:t>
      </w:r>
      <w:r w:rsidR="00CA142D">
        <w:rPr>
          <w:b/>
          <w:sz w:val="28"/>
          <w:szCs w:val="28"/>
        </w:rPr>
        <w:t xml:space="preserve">am Beispiel </w:t>
      </w:r>
      <w:r w:rsidR="0039588C">
        <w:rPr>
          <w:b/>
          <w:sz w:val="28"/>
          <w:szCs w:val="28"/>
        </w:rPr>
        <w:t xml:space="preserve">von </w:t>
      </w:r>
      <w:r w:rsidR="00CA142D" w:rsidRPr="000E3556">
        <w:rPr>
          <w:b/>
          <w:sz w:val="28"/>
          <w:szCs w:val="28"/>
        </w:rPr>
        <w:t>Natronlauge</w:t>
      </w:r>
      <w:r w:rsidR="00CA142D">
        <w:rPr>
          <w:b/>
          <w:sz w:val="28"/>
          <w:szCs w:val="28"/>
        </w:rPr>
        <w:t xml:space="preserve"> und Salzsäure</w:t>
      </w:r>
      <w:r w:rsidR="003A24E5">
        <w:rPr>
          <w:b/>
          <w:sz w:val="28"/>
          <w:szCs w:val="28"/>
        </w:rPr>
        <w:t>“</w:t>
      </w:r>
    </w:p>
    <w:p w:rsidR="00E83901" w:rsidRPr="0059463C" w:rsidRDefault="000E3556" w:rsidP="00CA14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Information für Lehrkräfte:</w:t>
      </w:r>
    </w:p>
    <w:p w:rsidR="003A24E5" w:rsidRDefault="00C07DE3" w:rsidP="003A24E5">
      <w:pPr>
        <w:spacing w:after="120"/>
        <w:jc w:val="both"/>
        <w:rPr>
          <w:sz w:val="24"/>
          <w:szCs w:val="28"/>
        </w:rPr>
      </w:pPr>
      <w:r w:rsidRPr="00C07DE3">
        <w:rPr>
          <w:sz w:val="24"/>
          <w:szCs w:val="28"/>
        </w:rPr>
        <w:t xml:space="preserve">Dieses Arbeitsmaterial </w:t>
      </w:r>
      <w:r w:rsidR="005F21CF">
        <w:rPr>
          <w:sz w:val="24"/>
          <w:szCs w:val="28"/>
        </w:rPr>
        <w:t>bezieht sich auf das Feld D2</w:t>
      </w:r>
      <w:r w:rsidR="006B4A6F">
        <w:rPr>
          <w:sz w:val="24"/>
          <w:szCs w:val="28"/>
        </w:rPr>
        <w:t xml:space="preserve"> des Lernstrukturgitters </w:t>
      </w:r>
      <w:r w:rsidR="00C2065C">
        <w:rPr>
          <w:sz w:val="24"/>
          <w:szCs w:val="28"/>
        </w:rPr>
        <w:t>Säure</w:t>
      </w:r>
      <w:r w:rsidR="005F21CF">
        <w:rPr>
          <w:sz w:val="24"/>
          <w:szCs w:val="28"/>
        </w:rPr>
        <w:t>n</w:t>
      </w:r>
      <w:r w:rsidR="00C2065C">
        <w:rPr>
          <w:sz w:val="24"/>
          <w:szCs w:val="28"/>
        </w:rPr>
        <w:t xml:space="preserve"> und </w:t>
      </w:r>
      <w:r w:rsidR="005F21CF">
        <w:rPr>
          <w:sz w:val="24"/>
          <w:szCs w:val="28"/>
        </w:rPr>
        <w:t>Laugen</w:t>
      </w:r>
      <w:r w:rsidR="006B4A6F">
        <w:rPr>
          <w:sz w:val="24"/>
          <w:szCs w:val="28"/>
        </w:rPr>
        <w:t xml:space="preserve"> für die Jahrgangsstufe 9</w:t>
      </w:r>
      <w:r w:rsidR="005F21CF">
        <w:rPr>
          <w:sz w:val="24"/>
          <w:szCs w:val="28"/>
        </w:rPr>
        <w:t>/10</w:t>
      </w:r>
      <w:r w:rsidR="00C86F6F">
        <w:rPr>
          <w:sz w:val="24"/>
          <w:szCs w:val="28"/>
        </w:rPr>
        <w:t xml:space="preserve"> und stellt ein Ausgangsmaterial für den Start in unterschiedliche </w:t>
      </w:r>
      <w:r w:rsidR="00ED06CC">
        <w:rPr>
          <w:sz w:val="24"/>
          <w:szCs w:val="28"/>
        </w:rPr>
        <w:t>Lernarrangements</w:t>
      </w:r>
      <w:r w:rsidR="00C86F6F">
        <w:rPr>
          <w:sz w:val="24"/>
          <w:szCs w:val="28"/>
        </w:rPr>
        <w:t xml:space="preserve"> dar</w:t>
      </w:r>
      <w:r w:rsidR="006B4A6F">
        <w:rPr>
          <w:sz w:val="24"/>
          <w:szCs w:val="28"/>
        </w:rPr>
        <w:t xml:space="preserve">. </w:t>
      </w:r>
    </w:p>
    <w:p w:rsidR="003A24E5" w:rsidRDefault="003A24E5" w:rsidP="003A24E5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</w:t>
      </w:r>
      <w:r w:rsidRPr="00D07EB6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Erklärvideo</w:t>
      </w:r>
      <w:proofErr w:type="spellEnd"/>
      <w:r>
        <w:rPr>
          <w:rFonts w:cstheme="minorHAnsi"/>
          <w:sz w:val="24"/>
          <w:szCs w:val="24"/>
        </w:rPr>
        <w:t xml:space="preserve"> „</w:t>
      </w:r>
      <w:r w:rsidR="00CA142D">
        <w:rPr>
          <w:rFonts w:cstheme="minorHAnsi"/>
          <w:sz w:val="24"/>
          <w:szCs w:val="24"/>
        </w:rPr>
        <w:t xml:space="preserve">Die </w:t>
      </w:r>
      <w:r>
        <w:rPr>
          <w:rFonts w:cstheme="minorHAnsi"/>
          <w:sz w:val="24"/>
          <w:szCs w:val="24"/>
        </w:rPr>
        <w:t xml:space="preserve">Neutralisation </w:t>
      </w:r>
      <w:r w:rsidR="00CA142D">
        <w:rPr>
          <w:rFonts w:cstheme="minorHAnsi"/>
          <w:sz w:val="24"/>
          <w:szCs w:val="24"/>
        </w:rPr>
        <w:t xml:space="preserve">am Beispiel </w:t>
      </w:r>
      <w:r>
        <w:rPr>
          <w:rFonts w:cstheme="minorHAnsi"/>
          <w:sz w:val="24"/>
          <w:szCs w:val="24"/>
        </w:rPr>
        <w:t>von</w:t>
      </w:r>
      <w:r w:rsidR="00CA142D">
        <w:rPr>
          <w:rFonts w:cstheme="minorHAnsi"/>
          <w:sz w:val="24"/>
          <w:szCs w:val="24"/>
        </w:rPr>
        <w:t xml:space="preserve"> Natronlauge und</w:t>
      </w:r>
      <w:r>
        <w:rPr>
          <w:rFonts w:cstheme="minorHAnsi"/>
          <w:sz w:val="24"/>
          <w:szCs w:val="24"/>
        </w:rPr>
        <w:t xml:space="preserve"> Salzsäure“ wird ein Experiment zur Neutralisation unter Benutzung des Indikators </w:t>
      </w:r>
      <w:proofErr w:type="spellStart"/>
      <w:r>
        <w:rPr>
          <w:rFonts w:cstheme="minorHAnsi"/>
          <w:sz w:val="24"/>
          <w:szCs w:val="24"/>
        </w:rPr>
        <w:t>Bromthymolblau</w:t>
      </w:r>
      <w:proofErr w:type="spellEnd"/>
      <w:r>
        <w:rPr>
          <w:rFonts w:cstheme="minorHAnsi"/>
          <w:sz w:val="24"/>
          <w:szCs w:val="24"/>
        </w:rPr>
        <w:t xml:space="preserve"> entwickelt und umgesetzt. Lernziel ist es, die Umschlagpunkte und Färbungen des Indikators </w:t>
      </w:r>
      <w:proofErr w:type="spellStart"/>
      <w:r>
        <w:rPr>
          <w:rFonts w:cstheme="minorHAnsi"/>
          <w:sz w:val="24"/>
          <w:szCs w:val="24"/>
        </w:rPr>
        <w:t>Bromthymolblau</w:t>
      </w:r>
      <w:proofErr w:type="spellEnd"/>
      <w:r>
        <w:rPr>
          <w:rFonts w:cstheme="minorHAnsi"/>
          <w:sz w:val="24"/>
          <w:szCs w:val="24"/>
        </w:rPr>
        <w:t xml:space="preserve"> in den verschiedenen pH-Bereichen zu beobachten</w:t>
      </w:r>
      <w:r w:rsidR="00C86F6F">
        <w:rPr>
          <w:rFonts w:cstheme="minorHAnsi"/>
          <w:sz w:val="24"/>
          <w:szCs w:val="24"/>
        </w:rPr>
        <w:t xml:space="preserve"> und daraus abzuleiten, dass eine Neutralisation stattgefunden hat</w:t>
      </w:r>
      <w:r>
        <w:rPr>
          <w:rFonts w:cstheme="minorHAnsi"/>
          <w:sz w:val="24"/>
          <w:szCs w:val="24"/>
        </w:rPr>
        <w:t xml:space="preserve">. </w:t>
      </w:r>
    </w:p>
    <w:p w:rsidR="00F85C99" w:rsidRPr="00D07EB6" w:rsidRDefault="00F85C99" w:rsidP="00F85C99">
      <w:pPr>
        <w:jc w:val="both"/>
        <w:rPr>
          <w:rFonts w:cstheme="minorHAnsi"/>
          <w:sz w:val="24"/>
          <w:szCs w:val="24"/>
        </w:rPr>
      </w:pPr>
      <w:r w:rsidRPr="00D07EB6">
        <w:rPr>
          <w:rFonts w:cstheme="minorHAnsi"/>
          <w:sz w:val="24"/>
          <w:szCs w:val="24"/>
        </w:rPr>
        <w:t xml:space="preserve">Der Indikator </w:t>
      </w:r>
      <w:proofErr w:type="spellStart"/>
      <w:r w:rsidRPr="00D07EB6">
        <w:rPr>
          <w:rFonts w:cstheme="minorHAnsi"/>
          <w:sz w:val="24"/>
          <w:szCs w:val="24"/>
        </w:rPr>
        <w:t>Bromthymolblau</w:t>
      </w:r>
      <w:proofErr w:type="spellEnd"/>
      <w:r w:rsidRPr="00D07EB6">
        <w:rPr>
          <w:rFonts w:cstheme="minorHAnsi"/>
          <w:sz w:val="24"/>
          <w:szCs w:val="24"/>
        </w:rPr>
        <w:t xml:space="preserve"> zeigt </w:t>
      </w:r>
      <w:r w:rsidR="00E31EC4">
        <w:rPr>
          <w:rFonts w:cstheme="minorHAnsi"/>
          <w:sz w:val="24"/>
          <w:szCs w:val="24"/>
        </w:rPr>
        <w:t xml:space="preserve">bei Zugabe zu einer wässrigen Lösung </w:t>
      </w:r>
      <w:r w:rsidRPr="00D07EB6">
        <w:rPr>
          <w:rFonts w:cstheme="minorHAnsi"/>
          <w:sz w:val="24"/>
          <w:szCs w:val="24"/>
        </w:rPr>
        <w:t xml:space="preserve">durch Farbänderung an, ob eine </w:t>
      </w:r>
      <w:proofErr w:type="spellStart"/>
      <w:r w:rsidRPr="00D07EB6">
        <w:rPr>
          <w:rFonts w:cstheme="minorHAnsi"/>
          <w:sz w:val="24"/>
          <w:szCs w:val="24"/>
        </w:rPr>
        <w:t>eine</w:t>
      </w:r>
      <w:proofErr w:type="spellEnd"/>
      <w:r w:rsidRPr="00D07E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saure Lösung</w:t>
      </w:r>
      <w:r w:rsidRPr="00D07EB6">
        <w:rPr>
          <w:rFonts w:cstheme="minorHAnsi"/>
          <w:sz w:val="24"/>
          <w:szCs w:val="24"/>
        </w:rPr>
        <w:t xml:space="preserve">, eine neutrale Flüssigkeit oder eine </w:t>
      </w:r>
      <w:r w:rsidR="00E31EC4">
        <w:rPr>
          <w:rFonts w:cstheme="minorHAnsi"/>
          <w:sz w:val="24"/>
          <w:szCs w:val="24"/>
        </w:rPr>
        <w:t>alkalische Lösung</w:t>
      </w:r>
      <w:r w:rsidR="00E31EC4">
        <w:rPr>
          <w:rFonts w:cstheme="minorHAnsi"/>
          <w:sz w:val="24"/>
          <w:szCs w:val="24"/>
        </w:rPr>
        <w:t xml:space="preserve"> </w:t>
      </w:r>
      <w:r w:rsidR="00ED06CC">
        <w:rPr>
          <w:rFonts w:cstheme="minorHAnsi"/>
          <w:sz w:val="24"/>
          <w:szCs w:val="24"/>
        </w:rPr>
        <w:t>vorliegt</w:t>
      </w:r>
      <w:r w:rsidRPr="00D07EB6">
        <w:rPr>
          <w:rFonts w:cstheme="minorHAnsi"/>
          <w:sz w:val="24"/>
          <w:szCs w:val="24"/>
        </w:rPr>
        <w:t xml:space="preserve">. </w:t>
      </w:r>
    </w:p>
    <w:p w:rsidR="00F85C99" w:rsidRPr="00D07EB6" w:rsidRDefault="00F85C99" w:rsidP="00F85C99">
      <w:pPr>
        <w:jc w:val="both"/>
        <w:rPr>
          <w:rFonts w:cstheme="minorHAnsi"/>
          <w:sz w:val="24"/>
          <w:szCs w:val="24"/>
        </w:rPr>
      </w:pPr>
      <w:r w:rsidRPr="00D07EB6">
        <w:rPr>
          <w:rFonts w:cstheme="minorHAnsi"/>
          <w:sz w:val="24"/>
          <w:szCs w:val="24"/>
        </w:rPr>
        <w:t xml:space="preserve">Der Indikator </w:t>
      </w:r>
      <w:proofErr w:type="spellStart"/>
      <w:r w:rsidRPr="00D07EB6">
        <w:rPr>
          <w:rFonts w:cstheme="minorHAnsi"/>
          <w:sz w:val="24"/>
          <w:szCs w:val="24"/>
        </w:rPr>
        <w:t>Bromthymolblau</w:t>
      </w:r>
      <w:proofErr w:type="spellEnd"/>
      <w:r w:rsidRPr="00D07EB6">
        <w:rPr>
          <w:rFonts w:cstheme="minorHAnsi"/>
          <w:sz w:val="24"/>
          <w:szCs w:val="24"/>
        </w:rPr>
        <w:t xml:space="preserve"> hat seine eigene Farbskala</w:t>
      </w:r>
      <w:r>
        <w:rPr>
          <w:rFonts w:cstheme="minorHAnsi"/>
          <w:sz w:val="24"/>
          <w:szCs w:val="24"/>
        </w:rPr>
        <w:t>.</w:t>
      </w:r>
      <w:r w:rsidRPr="00D07E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Pr="00D07EB6">
        <w:rPr>
          <w:rFonts w:cstheme="minorHAnsi"/>
          <w:sz w:val="24"/>
          <w:szCs w:val="24"/>
        </w:rPr>
        <w:t xml:space="preserve">m sauren Bereich ist die saure Flüssigkeit gelb. Das heißt, der pH-Wert ist </w:t>
      </w:r>
      <w:r w:rsidR="00E31EC4">
        <w:rPr>
          <w:rFonts w:cstheme="minorHAnsi"/>
          <w:sz w:val="24"/>
          <w:szCs w:val="24"/>
        </w:rPr>
        <w:t>kleiner</w:t>
      </w:r>
      <w:r w:rsidR="00E31EC4" w:rsidRPr="00D07EB6">
        <w:rPr>
          <w:rFonts w:cstheme="minorHAnsi"/>
          <w:sz w:val="24"/>
          <w:szCs w:val="24"/>
        </w:rPr>
        <w:t xml:space="preserve"> </w:t>
      </w:r>
      <w:r w:rsidRPr="00D07EB6">
        <w:rPr>
          <w:rFonts w:cstheme="minorHAnsi"/>
          <w:sz w:val="24"/>
          <w:szCs w:val="24"/>
        </w:rPr>
        <w:t>7. Ist die Lösung neutral, so ist die Flüssigkeit mit dem Indikator grün. Hat die Lösung einen höheren pH-Wert als sieben, so ist die Lösung blau.</w:t>
      </w:r>
      <w:r w:rsidR="00C86F6F" w:rsidRPr="00D07EB6">
        <w:rPr>
          <w:rFonts w:cstheme="minorHAnsi"/>
          <w:sz w:val="24"/>
          <w:szCs w:val="24"/>
        </w:rPr>
        <w:t xml:space="preserve"> </w:t>
      </w:r>
    </w:p>
    <w:p w:rsidR="00CF121C" w:rsidRDefault="00C86F6F" w:rsidP="00C86F6F">
      <w:pPr>
        <w:spacing w:after="120"/>
        <w:jc w:val="both"/>
      </w:pPr>
      <w:r>
        <w:rPr>
          <w:rFonts w:cstheme="minorHAnsi"/>
          <w:sz w:val="24"/>
          <w:szCs w:val="24"/>
        </w:rPr>
        <w:t xml:space="preserve">Die </w:t>
      </w:r>
      <w:proofErr w:type="spellStart"/>
      <w:r>
        <w:rPr>
          <w:rFonts w:cstheme="minorHAnsi"/>
          <w:sz w:val="24"/>
          <w:szCs w:val="24"/>
        </w:rPr>
        <w:t>Erklärvideos</w:t>
      </w:r>
      <w:proofErr w:type="spellEnd"/>
      <w:r w:rsidRPr="003A24E5">
        <w:rPr>
          <w:rFonts w:cstheme="minorHAnsi"/>
          <w:sz w:val="24"/>
          <w:szCs w:val="24"/>
        </w:rPr>
        <w:t xml:space="preserve"> bieten </w:t>
      </w:r>
      <w:r>
        <w:rPr>
          <w:rFonts w:cstheme="minorHAnsi"/>
          <w:sz w:val="24"/>
          <w:szCs w:val="24"/>
        </w:rPr>
        <w:t xml:space="preserve">sich als Einstieg in verschiedene Unterrichtssettings zur Durchführung von Experimenten zur Neutralisation von Salzsäure mit Natronlauge an. </w:t>
      </w:r>
      <w:r w:rsidR="00CF121C">
        <w:rPr>
          <w:rFonts w:cstheme="minorHAnsi"/>
          <w:sz w:val="24"/>
          <w:szCs w:val="24"/>
        </w:rPr>
        <w:t>Anschließend können die Schülerinnen und Schüler im</w:t>
      </w:r>
      <w:r w:rsidRPr="003A24E5">
        <w:rPr>
          <w:rFonts w:cstheme="minorHAnsi"/>
          <w:sz w:val="24"/>
          <w:szCs w:val="24"/>
        </w:rPr>
        <w:t xml:space="preserve"> Sinne </w:t>
      </w:r>
      <w:r w:rsidR="000C75D4">
        <w:rPr>
          <w:rFonts w:cstheme="minorHAnsi"/>
          <w:sz w:val="24"/>
          <w:szCs w:val="24"/>
        </w:rPr>
        <w:t xml:space="preserve">eines kompetenzorientierten inklusiven Unterrichts </w:t>
      </w:r>
      <w:r w:rsidR="00CF121C">
        <w:rPr>
          <w:rFonts w:cstheme="minorHAnsi"/>
          <w:sz w:val="24"/>
          <w:szCs w:val="24"/>
        </w:rPr>
        <w:t xml:space="preserve">eigenständig weiterlernen. </w:t>
      </w:r>
      <w:r w:rsidR="00F23AF4">
        <w:rPr>
          <w:rFonts w:cstheme="minorHAnsi"/>
          <w:sz w:val="24"/>
          <w:szCs w:val="24"/>
        </w:rPr>
        <w:t>Es ist ebenfalls d</w:t>
      </w:r>
      <w:r w:rsidR="003D77DA">
        <w:rPr>
          <w:rFonts w:cstheme="minorHAnsi"/>
          <w:sz w:val="24"/>
          <w:szCs w:val="24"/>
        </w:rPr>
        <w:t>e</w:t>
      </w:r>
      <w:r w:rsidR="00F23AF4">
        <w:rPr>
          <w:rFonts w:cstheme="minorHAnsi"/>
          <w:sz w:val="24"/>
          <w:szCs w:val="24"/>
        </w:rPr>
        <w:t xml:space="preserve">nkbar, </w:t>
      </w:r>
      <w:r w:rsidR="00F23AF4" w:rsidRPr="00F23AF4">
        <w:t xml:space="preserve">digitales, differenzierendes Unterrichtsmaterial zu den </w:t>
      </w:r>
      <w:proofErr w:type="spellStart"/>
      <w:r w:rsidR="00F23AF4" w:rsidRPr="00F23AF4">
        <w:t>Erklärvideos</w:t>
      </w:r>
      <w:proofErr w:type="spellEnd"/>
      <w:r w:rsidR="00F23AF4" w:rsidRPr="00F23AF4">
        <w:t xml:space="preserve"> zu erstellen.</w:t>
      </w:r>
    </w:p>
    <w:p w:rsidR="003837A2" w:rsidRDefault="003837A2" w:rsidP="003837A2">
      <w:pPr>
        <w:pStyle w:val="Funotentext"/>
        <w:spacing w:line="276" w:lineRule="auto"/>
        <w:rPr>
          <w:sz w:val="24"/>
          <w:szCs w:val="28"/>
        </w:rPr>
      </w:pPr>
      <w:r w:rsidRPr="007C4DF8">
        <w:rPr>
          <w:sz w:val="24"/>
          <w:szCs w:val="28"/>
        </w:rPr>
        <w:t>Folgende Materialien liegen vor:</w:t>
      </w:r>
    </w:p>
    <w:p w:rsidR="003837A2" w:rsidRDefault="003837A2" w:rsidP="003837A2">
      <w:pPr>
        <w:pStyle w:val="Funotentext"/>
        <w:numPr>
          <w:ilvl w:val="0"/>
          <w:numId w:val="8"/>
        </w:numPr>
        <w:spacing w:line="276" w:lineRule="auto"/>
        <w:rPr>
          <w:sz w:val="24"/>
          <w:szCs w:val="28"/>
        </w:rPr>
      </w:pPr>
      <w:proofErr w:type="spellStart"/>
      <w:r>
        <w:rPr>
          <w:sz w:val="24"/>
          <w:szCs w:val="28"/>
        </w:rPr>
        <w:t>Erklärvideo</w:t>
      </w:r>
      <w:proofErr w:type="spellEnd"/>
      <w:r>
        <w:rPr>
          <w:sz w:val="24"/>
          <w:szCs w:val="28"/>
        </w:rPr>
        <w:t xml:space="preserve"> mit Ton und Untertitel / ohne Untertitel</w:t>
      </w:r>
    </w:p>
    <w:p w:rsidR="003837A2" w:rsidRPr="000E3556" w:rsidRDefault="003837A2" w:rsidP="003837A2">
      <w:pPr>
        <w:pStyle w:val="Funotentext"/>
        <w:numPr>
          <w:ilvl w:val="0"/>
          <w:numId w:val="8"/>
        </w:numPr>
        <w:spacing w:line="276" w:lineRule="auto"/>
        <w:rPr>
          <w:color w:val="FF0000"/>
          <w:sz w:val="24"/>
          <w:szCs w:val="28"/>
        </w:rPr>
      </w:pPr>
      <w:proofErr w:type="spellStart"/>
      <w:r>
        <w:rPr>
          <w:sz w:val="24"/>
          <w:szCs w:val="28"/>
        </w:rPr>
        <w:t>Erklärvideo</w:t>
      </w:r>
      <w:proofErr w:type="spellEnd"/>
      <w:r>
        <w:rPr>
          <w:sz w:val="24"/>
          <w:szCs w:val="28"/>
        </w:rPr>
        <w:t xml:space="preserve"> mit Farbskala mit Ton und Untertitel / ohne Untertitel </w:t>
      </w:r>
      <w:r w:rsidRPr="000E3556">
        <w:rPr>
          <w:color w:val="FF0000"/>
          <w:sz w:val="24"/>
          <w:szCs w:val="28"/>
        </w:rPr>
        <w:t>– wenn die Videos vorliegen, erfolgen hier direkte Links auf die jeweiligen Filme</w:t>
      </w:r>
    </w:p>
    <w:p w:rsidR="00C86F6F" w:rsidRPr="00D07EB6" w:rsidRDefault="00C86F6F" w:rsidP="00873DF3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Ausblick auf mögliche </w:t>
      </w:r>
      <w:r w:rsidR="00CF121C">
        <w:rPr>
          <w:rFonts w:cstheme="minorHAnsi"/>
          <w:b/>
          <w:sz w:val="24"/>
          <w:szCs w:val="24"/>
        </w:rPr>
        <w:t>Lernarrangements</w:t>
      </w:r>
      <w:r>
        <w:rPr>
          <w:rFonts w:cstheme="minorHAnsi"/>
          <w:b/>
          <w:sz w:val="24"/>
          <w:szCs w:val="24"/>
        </w:rPr>
        <w:t xml:space="preserve"> im Anschluss an das </w:t>
      </w:r>
      <w:r w:rsidR="00ED06CC">
        <w:rPr>
          <w:rFonts w:cstheme="minorHAnsi"/>
          <w:b/>
          <w:sz w:val="24"/>
          <w:szCs w:val="24"/>
        </w:rPr>
        <w:t>Einstiegsv</w:t>
      </w:r>
      <w:r>
        <w:rPr>
          <w:rFonts w:cstheme="minorHAnsi"/>
          <w:b/>
          <w:sz w:val="24"/>
          <w:szCs w:val="24"/>
        </w:rPr>
        <w:t>ideo</w:t>
      </w:r>
      <w:r w:rsidR="00ED06CC">
        <w:rPr>
          <w:rFonts w:cstheme="minorHAnsi"/>
          <w:b/>
          <w:sz w:val="24"/>
          <w:szCs w:val="24"/>
        </w:rPr>
        <w:t>:</w:t>
      </w:r>
    </w:p>
    <w:tbl>
      <w:tblPr>
        <w:tblStyle w:val="Tabellengitternetz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817"/>
        <w:gridCol w:w="8363"/>
      </w:tblGrid>
      <w:tr w:rsidR="00CF121C" w:rsidRPr="00D07EB6" w:rsidTr="00CA142D">
        <w:trPr>
          <w:trHeight w:val="1550"/>
          <w:jc w:val="center"/>
        </w:trPr>
        <w:tc>
          <w:tcPr>
            <w:tcW w:w="817" w:type="dxa"/>
            <w:vAlign w:val="center"/>
          </w:tcPr>
          <w:p w:rsidR="00CF121C" w:rsidRPr="00D07EB6" w:rsidRDefault="00CF121C" w:rsidP="00823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363" w:type="dxa"/>
            <w:vAlign w:val="center"/>
          </w:tcPr>
          <w:p w:rsidR="00ED06CC" w:rsidRPr="00CA142D" w:rsidRDefault="00CF121C" w:rsidP="00823F9E">
            <w:pPr>
              <w:rPr>
                <w:rFonts w:cstheme="minorHAnsi"/>
              </w:rPr>
            </w:pPr>
            <w:r>
              <w:rPr>
                <w:rFonts w:cstheme="minorHAnsi"/>
              </w:rPr>
              <w:t>Durchführung eines Experiments zur Neutralisation einer salzsauren Lösung mit Natronlauge mit Hilfe differenzierter Experimentierboxen und unterschiedlich strukturierter Hilfekarten.</w:t>
            </w:r>
            <w:r w:rsidR="00ED06CC">
              <w:rPr>
                <w:rFonts w:cstheme="minorHAnsi"/>
              </w:rPr>
              <w:t xml:space="preserve"> </w:t>
            </w:r>
            <w:r w:rsidR="000C75D4">
              <w:rPr>
                <w:rFonts w:cstheme="minorHAnsi"/>
              </w:rPr>
              <w:t xml:space="preserve">Für diese können </w:t>
            </w:r>
            <w:proofErr w:type="spellStart"/>
            <w:r w:rsidR="000C75D4">
              <w:rPr>
                <w:rFonts w:cstheme="minorHAnsi"/>
              </w:rPr>
              <w:t>Stills</w:t>
            </w:r>
            <w:proofErr w:type="spellEnd"/>
            <w:r w:rsidR="000C75D4">
              <w:rPr>
                <w:rFonts w:cstheme="minorHAnsi"/>
              </w:rPr>
              <w:t xml:space="preserve"> und </w:t>
            </w:r>
            <w:proofErr w:type="spellStart"/>
            <w:r w:rsidR="000C75D4">
              <w:rPr>
                <w:rFonts w:cstheme="minorHAnsi"/>
              </w:rPr>
              <w:t>Screenshots</w:t>
            </w:r>
            <w:proofErr w:type="spellEnd"/>
            <w:r w:rsidR="000C75D4">
              <w:rPr>
                <w:rFonts w:cstheme="minorHAnsi"/>
              </w:rPr>
              <w:t xml:space="preserve"> aus den Videos entnommen werden. </w:t>
            </w:r>
            <w:r w:rsidR="00ED06CC">
              <w:rPr>
                <w:rFonts w:cstheme="minorHAnsi"/>
              </w:rPr>
              <w:t xml:space="preserve">Durch das Baukastenprinzip und gestufte Hilfen </w:t>
            </w:r>
            <w:r w:rsidR="00896E6C">
              <w:rPr>
                <w:rFonts w:cstheme="minorHAnsi"/>
              </w:rPr>
              <w:t>kann</w:t>
            </w:r>
            <w:r w:rsidR="00ED06CC">
              <w:rPr>
                <w:rFonts w:cstheme="minorHAnsi"/>
              </w:rPr>
              <w:t xml:space="preserve"> den Lernenden selbstreguliertes Lernen ermöglicht</w:t>
            </w:r>
            <w:r w:rsidR="00896E6C">
              <w:rPr>
                <w:rFonts w:cstheme="minorHAnsi"/>
              </w:rPr>
              <w:t xml:space="preserve"> werden</w:t>
            </w:r>
            <w:r w:rsidR="00ED06CC">
              <w:rPr>
                <w:rFonts w:cstheme="minorHAnsi"/>
              </w:rPr>
              <w:t>.</w:t>
            </w:r>
          </w:p>
        </w:tc>
      </w:tr>
      <w:tr w:rsidR="00CF121C" w:rsidRPr="00D07EB6" w:rsidTr="004F414A">
        <w:trPr>
          <w:trHeight w:val="626"/>
          <w:jc w:val="center"/>
        </w:trPr>
        <w:tc>
          <w:tcPr>
            <w:tcW w:w="817" w:type="dxa"/>
            <w:vAlign w:val="center"/>
          </w:tcPr>
          <w:p w:rsidR="00CF121C" w:rsidRDefault="00CF121C" w:rsidP="00823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363" w:type="dxa"/>
            <w:vAlign w:val="center"/>
          </w:tcPr>
          <w:p w:rsidR="00ED06CC" w:rsidRPr="00CA142D" w:rsidRDefault="00ED06CC" w:rsidP="00823F9E">
            <w:pPr>
              <w:rPr>
                <w:rFonts w:cstheme="minorHAnsi"/>
                <w:sz w:val="4"/>
                <w:szCs w:val="4"/>
              </w:rPr>
            </w:pPr>
          </w:p>
          <w:p w:rsidR="00CF121C" w:rsidRDefault="00CF121C" w:rsidP="00823F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Einbindung des </w:t>
            </w:r>
            <w:proofErr w:type="spellStart"/>
            <w:r>
              <w:rPr>
                <w:rFonts w:cstheme="minorHAnsi"/>
              </w:rPr>
              <w:t>Erklärvideos</w:t>
            </w:r>
            <w:proofErr w:type="spellEnd"/>
            <w:r>
              <w:rPr>
                <w:rFonts w:cstheme="minorHAnsi"/>
              </w:rPr>
              <w:t xml:space="preserve"> in ein Arrangement </w:t>
            </w:r>
            <w:r w:rsidR="00204AF2">
              <w:rPr>
                <w:rFonts w:cstheme="minorHAnsi"/>
              </w:rPr>
              <w:t>im Sinne von</w:t>
            </w:r>
            <w:r>
              <w:rPr>
                <w:rFonts w:cstheme="minorHAnsi"/>
              </w:rPr>
              <w:t xml:space="preserve"> </w:t>
            </w:r>
            <w:r w:rsidR="00204AF2">
              <w:rPr>
                <w:rFonts w:cstheme="minorHAnsi"/>
              </w:rPr>
              <w:t>„Lernen an Stationen“</w:t>
            </w:r>
            <w:r w:rsidR="00ED06CC">
              <w:rPr>
                <w:rFonts w:cstheme="minorHAnsi"/>
              </w:rPr>
              <w:t xml:space="preserve">. </w:t>
            </w:r>
            <w:r w:rsidR="00204AF2">
              <w:rPr>
                <w:rFonts w:cstheme="minorHAnsi"/>
              </w:rPr>
              <w:t>An mehreren Stationen</w:t>
            </w:r>
            <w:r w:rsidR="00ED06CC">
              <w:rPr>
                <w:rFonts w:cstheme="minorHAnsi"/>
              </w:rPr>
              <w:t xml:space="preserve"> können z. B.  verschiedene Neutralisationsreaktionen durchgeführt werden.</w:t>
            </w:r>
            <w:r w:rsidR="000C75D4">
              <w:rPr>
                <w:rFonts w:cstheme="minorHAnsi"/>
              </w:rPr>
              <w:t xml:space="preserve"> </w:t>
            </w:r>
            <w:r w:rsidR="00594530">
              <w:rPr>
                <w:rFonts w:cstheme="minorHAnsi"/>
              </w:rPr>
              <w:t>Eine zusätzliche Station könnte das Video „Neutralisation</w:t>
            </w:r>
            <w:r w:rsidR="00204AF2">
              <w:rPr>
                <w:rFonts w:cstheme="minorHAnsi"/>
              </w:rPr>
              <w:t xml:space="preserve"> von Salzsäure mit Natronlauge</w:t>
            </w:r>
            <w:r w:rsidR="00594530">
              <w:rPr>
                <w:rFonts w:cstheme="minorHAnsi"/>
              </w:rPr>
              <w:t xml:space="preserve"> – eine modellhafte Darstellung auf der Ebene der Teilchen</w:t>
            </w:r>
            <w:r w:rsidR="00204AF2">
              <w:rPr>
                <w:rFonts w:cstheme="minorHAnsi"/>
              </w:rPr>
              <w:t xml:space="preserve">“ beinhalten. </w:t>
            </w:r>
            <w:r w:rsidR="000C75D4">
              <w:rPr>
                <w:rFonts w:cstheme="minorHAnsi"/>
              </w:rPr>
              <w:t xml:space="preserve">Das </w:t>
            </w:r>
            <w:proofErr w:type="spellStart"/>
            <w:r w:rsidR="000C75D4">
              <w:rPr>
                <w:rFonts w:cstheme="minorHAnsi"/>
              </w:rPr>
              <w:t>Stationenlernen</w:t>
            </w:r>
            <w:proofErr w:type="spellEnd"/>
            <w:r w:rsidR="000C75D4">
              <w:rPr>
                <w:rFonts w:cstheme="minorHAnsi"/>
              </w:rPr>
              <w:t xml:space="preserve"> bi</w:t>
            </w:r>
            <w:r w:rsidR="003D77DA">
              <w:rPr>
                <w:rFonts w:cstheme="minorHAnsi"/>
              </w:rPr>
              <w:t>etet den Lernenden die Chance,</w:t>
            </w:r>
            <w:r w:rsidR="00204AF2">
              <w:rPr>
                <w:rFonts w:cstheme="minorHAnsi"/>
              </w:rPr>
              <w:t xml:space="preserve"> selbstreguliert und in</w:t>
            </w:r>
            <w:r w:rsidR="000C75D4">
              <w:rPr>
                <w:rFonts w:cstheme="minorHAnsi"/>
              </w:rPr>
              <w:t xml:space="preserve"> ihrem eigenen Tempo zu lernen.</w:t>
            </w:r>
          </w:p>
          <w:p w:rsidR="00ED06CC" w:rsidRPr="00CA142D" w:rsidRDefault="00ED06CC" w:rsidP="00823F9E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CF121C" w:rsidRPr="00D07EB6" w:rsidTr="004F414A">
        <w:trPr>
          <w:trHeight w:val="626"/>
          <w:jc w:val="center"/>
        </w:trPr>
        <w:tc>
          <w:tcPr>
            <w:tcW w:w="817" w:type="dxa"/>
            <w:vAlign w:val="center"/>
          </w:tcPr>
          <w:p w:rsidR="00CF121C" w:rsidRDefault="00CF121C" w:rsidP="00823F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8363" w:type="dxa"/>
            <w:vAlign w:val="center"/>
          </w:tcPr>
          <w:p w:rsidR="00ED06CC" w:rsidRPr="00CA142D" w:rsidRDefault="00ED06CC" w:rsidP="00823F9E">
            <w:pPr>
              <w:rPr>
                <w:rFonts w:cstheme="minorHAnsi"/>
                <w:sz w:val="4"/>
                <w:szCs w:val="4"/>
              </w:rPr>
            </w:pPr>
          </w:p>
          <w:p w:rsidR="00CA142D" w:rsidRDefault="00CF121C" w:rsidP="00CA142D">
            <w:pPr>
              <w:rPr>
                <w:rFonts w:cstheme="minorHAnsi"/>
                <w:sz w:val="2"/>
                <w:szCs w:val="2"/>
              </w:rPr>
            </w:pPr>
            <w:r>
              <w:rPr>
                <w:rFonts w:cstheme="minorHAnsi"/>
              </w:rPr>
              <w:t>Direkte Verknüpfung mit dem Lernarrangemen</w:t>
            </w:r>
            <w:r w:rsidR="00ED06CC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</w:t>
            </w:r>
            <w:r w:rsidR="00ED06CC">
              <w:rPr>
                <w:rFonts w:cstheme="minorHAnsi"/>
              </w:rPr>
              <w:t xml:space="preserve">E2 „Auf der Ebene der kleinen Teilchen den Vorgang der Neutralisation modellhaft visualisieren und auswerten“. Dazu </w:t>
            </w:r>
            <w:r w:rsidR="00896E6C">
              <w:rPr>
                <w:rFonts w:cstheme="minorHAnsi"/>
              </w:rPr>
              <w:t>wird</w:t>
            </w:r>
            <w:r w:rsidR="00ED06CC">
              <w:rPr>
                <w:rFonts w:cstheme="minorHAnsi"/>
              </w:rPr>
              <w:t xml:space="preserve"> die PowerPoint-Präsentation „Neutralisation</w:t>
            </w:r>
            <w:r w:rsidR="00204AF2">
              <w:rPr>
                <w:rFonts w:cstheme="minorHAnsi"/>
              </w:rPr>
              <w:t xml:space="preserve"> von Salzsäure mit Natronlauge</w:t>
            </w:r>
            <w:r w:rsidR="00ED06CC">
              <w:rPr>
                <w:rFonts w:cstheme="minorHAnsi"/>
              </w:rPr>
              <w:t xml:space="preserve"> – eine modellhafte Darstellung auf der Ebene der Teilchen“ </w:t>
            </w:r>
            <w:r w:rsidR="000C75D4">
              <w:rPr>
                <w:rFonts w:cstheme="minorHAnsi"/>
              </w:rPr>
              <w:t>gezeigt</w:t>
            </w:r>
            <w:r w:rsidR="00896E6C">
              <w:rPr>
                <w:rFonts w:cstheme="minorHAnsi"/>
              </w:rPr>
              <w:t xml:space="preserve">. Die </w:t>
            </w:r>
            <w:r w:rsidR="000C75D4">
              <w:rPr>
                <w:rFonts w:cstheme="minorHAnsi"/>
              </w:rPr>
              <w:t>entsprechend</w:t>
            </w:r>
            <w:r w:rsidR="00896E6C">
              <w:rPr>
                <w:rFonts w:cstheme="minorHAnsi"/>
              </w:rPr>
              <w:t>en</w:t>
            </w:r>
            <w:r w:rsidR="000C75D4">
              <w:rPr>
                <w:rFonts w:cstheme="minorHAnsi"/>
              </w:rPr>
              <w:t xml:space="preserve"> Arbeitsmaterialien zu E2 </w:t>
            </w:r>
            <w:r w:rsidR="00896E6C">
              <w:rPr>
                <w:rFonts w:cstheme="minorHAnsi"/>
              </w:rPr>
              <w:t xml:space="preserve">können </w:t>
            </w:r>
            <w:r w:rsidR="000C75D4">
              <w:rPr>
                <w:rFonts w:cstheme="minorHAnsi"/>
              </w:rPr>
              <w:t>genutzt</w:t>
            </w:r>
            <w:r w:rsidR="00896E6C">
              <w:rPr>
                <w:rFonts w:cstheme="minorHAnsi"/>
              </w:rPr>
              <w:t xml:space="preserve"> werden</w:t>
            </w:r>
            <w:r w:rsidR="000C75D4">
              <w:rPr>
                <w:rFonts w:cstheme="minorHAnsi"/>
              </w:rPr>
              <w:t>.</w:t>
            </w:r>
          </w:p>
          <w:p w:rsidR="00CA142D" w:rsidRDefault="00CA142D" w:rsidP="00CA142D">
            <w:pPr>
              <w:rPr>
                <w:rFonts w:cstheme="minorHAnsi"/>
                <w:sz w:val="2"/>
                <w:szCs w:val="2"/>
              </w:rPr>
            </w:pPr>
          </w:p>
          <w:p w:rsidR="00CA142D" w:rsidRPr="00CA142D" w:rsidRDefault="00CA142D" w:rsidP="00CA142D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:rsidR="00C86F6F" w:rsidRDefault="00C86F6F" w:rsidP="00C86F6F">
      <w:pPr>
        <w:spacing w:after="120"/>
        <w:jc w:val="both"/>
        <w:rPr>
          <w:rFonts w:cstheme="minorHAnsi"/>
          <w:sz w:val="24"/>
          <w:szCs w:val="24"/>
        </w:rPr>
      </w:pPr>
    </w:p>
    <w:p w:rsidR="00C86F6F" w:rsidRPr="00D07EB6" w:rsidRDefault="00C86F6F" w:rsidP="00C86F6F">
      <w:pPr>
        <w:rPr>
          <w:rFonts w:cstheme="minorHAnsi"/>
          <w:b/>
          <w:sz w:val="24"/>
          <w:szCs w:val="24"/>
        </w:rPr>
      </w:pPr>
      <w:r w:rsidRPr="00D07EB6">
        <w:rPr>
          <w:rFonts w:cstheme="minorHAnsi"/>
          <w:b/>
          <w:sz w:val="24"/>
          <w:szCs w:val="24"/>
        </w:rPr>
        <w:t>Impulse zur Binnendifferenzierung / zum zieldifferenten Lernen</w:t>
      </w:r>
    </w:p>
    <w:p w:rsidR="00CF121C" w:rsidRDefault="00CF121C" w:rsidP="00CF121C">
      <w:pPr>
        <w:pStyle w:val="Funotentext"/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Das </w:t>
      </w:r>
      <w:proofErr w:type="spellStart"/>
      <w:r>
        <w:rPr>
          <w:sz w:val="24"/>
          <w:szCs w:val="28"/>
        </w:rPr>
        <w:t>Erklärvideo</w:t>
      </w:r>
      <w:proofErr w:type="spellEnd"/>
      <w:r>
        <w:rPr>
          <w:sz w:val="24"/>
          <w:szCs w:val="28"/>
        </w:rPr>
        <w:t xml:space="preserve"> und seine verschiedenen Ausführungen sind besonders gut geeignet für einen differenzierenden Unterricht.</w:t>
      </w:r>
      <w:r w:rsidR="006B4067">
        <w:rPr>
          <w:sz w:val="24"/>
          <w:szCs w:val="28"/>
        </w:rPr>
        <w:t xml:space="preserve"> </w:t>
      </w:r>
    </w:p>
    <w:p w:rsidR="0044273B" w:rsidRPr="00F23AF4" w:rsidRDefault="00CF121C" w:rsidP="00F23AF4">
      <w:pPr>
        <w:pStyle w:val="Funotentext"/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Im Sinne des </w:t>
      </w:r>
      <w:r w:rsidRPr="007D073F">
        <w:rPr>
          <w:i/>
          <w:sz w:val="24"/>
          <w:szCs w:val="28"/>
        </w:rPr>
        <w:t xml:space="preserve">Universal Design </w:t>
      </w:r>
      <w:proofErr w:type="spellStart"/>
      <w:r w:rsidRPr="007D073F">
        <w:rPr>
          <w:i/>
          <w:sz w:val="24"/>
          <w:szCs w:val="28"/>
        </w:rPr>
        <w:t>for</w:t>
      </w:r>
      <w:proofErr w:type="spellEnd"/>
      <w:r w:rsidRPr="007D073F">
        <w:rPr>
          <w:i/>
          <w:sz w:val="24"/>
          <w:szCs w:val="28"/>
        </w:rPr>
        <w:t xml:space="preserve"> Learning</w:t>
      </w:r>
      <w:r>
        <w:rPr>
          <w:sz w:val="24"/>
          <w:szCs w:val="28"/>
        </w:rPr>
        <w:t xml:space="preserve"> (UDL) haben die Schülerinnen und Schüler die Möglichkeit das Video mit und ohne Untertitel zu betrachten.</w:t>
      </w:r>
      <w:r w:rsidR="006B4067">
        <w:rPr>
          <w:sz w:val="24"/>
          <w:szCs w:val="28"/>
        </w:rPr>
        <w:t xml:space="preserve"> </w:t>
      </w:r>
      <w:r w:rsidR="00896E6C">
        <w:rPr>
          <w:sz w:val="24"/>
          <w:szCs w:val="28"/>
        </w:rPr>
        <w:t>Zusammen mit der vorhandenen Tonspur ist damit</w:t>
      </w:r>
      <w:r w:rsidR="006B4067">
        <w:rPr>
          <w:sz w:val="24"/>
          <w:szCs w:val="28"/>
        </w:rPr>
        <w:t xml:space="preserve"> das Prinzip des mehrkanaligen Lernens berücksichtigt.</w:t>
      </w:r>
      <w:r>
        <w:rPr>
          <w:sz w:val="24"/>
          <w:szCs w:val="28"/>
        </w:rPr>
        <w:t xml:space="preserve"> Darüber hinaus können Sie über das eigene Tempo beim Betrachten entscheiden und das </w:t>
      </w:r>
      <w:proofErr w:type="spellStart"/>
      <w:r>
        <w:rPr>
          <w:sz w:val="24"/>
          <w:szCs w:val="28"/>
        </w:rPr>
        <w:t>Erklärvideo</w:t>
      </w:r>
      <w:proofErr w:type="spellEnd"/>
      <w:r>
        <w:rPr>
          <w:sz w:val="24"/>
          <w:szCs w:val="28"/>
        </w:rPr>
        <w:t xml:space="preserve"> mit der Start-Stopp Funktion als Versuchsanleitung nutzen. Somit geht, im Sinne des </w:t>
      </w:r>
      <w:proofErr w:type="spellStart"/>
      <w:r w:rsidRPr="00CA142D">
        <w:rPr>
          <w:i/>
          <w:iCs/>
          <w:sz w:val="24"/>
          <w:szCs w:val="28"/>
        </w:rPr>
        <w:t>cognitive</w:t>
      </w:r>
      <w:proofErr w:type="spellEnd"/>
      <w:r w:rsidRPr="00CA142D">
        <w:rPr>
          <w:i/>
          <w:iCs/>
          <w:sz w:val="24"/>
          <w:szCs w:val="28"/>
        </w:rPr>
        <w:t xml:space="preserve"> </w:t>
      </w:r>
      <w:proofErr w:type="spellStart"/>
      <w:r w:rsidRPr="00CA142D">
        <w:rPr>
          <w:i/>
          <w:iCs/>
          <w:sz w:val="24"/>
          <w:szCs w:val="28"/>
        </w:rPr>
        <w:t>load</w:t>
      </w:r>
      <w:proofErr w:type="spellEnd"/>
      <w:r>
        <w:rPr>
          <w:sz w:val="24"/>
          <w:szCs w:val="28"/>
        </w:rPr>
        <w:t>,</w:t>
      </w:r>
      <w:r w:rsidRPr="0039588C">
        <w:rPr>
          <w:sz w:val="24"/>
          <w:szCs w:val="28"/>
        </w:rPr>
        <w:t xml:space="preserve"> keine Energie für mühsames Lesen verloren</w:t>
      </w:r>
      <w:r>
        <w:rPr>
          <w:sz w:val="24"/>
          <w:szCs w:val="28"/>
        </w:rPr>
        <w:t xml:space="preserve">. Ferner können die Schülerinnen und Schüler mit Hilfe des </w:t>
      </w:r>
      <w:proofErr w:type="spellStart"/>
      <w:r>
        <w:rPr>
          <w:sz w:val="24"/>
          <w:szCs w:val="28"/>
        </w:rPr>
        <w:t>Erklärvideos</w:t>
      </w:r>
      <w:proofErr w:type="spellEnd"/>
      <w:r>
        <w:rPr>
          <w:sz w:val="24"/>
          <w:szCs w:val="28"/>
        </w:rPr>
        <w:t xml:space="preserve"> etwas vorab lernen. Für weiterführendes Material und Arbeitsblätter können </w:t>
      </w:r>
      <w:proofErr w:type="spellStart"/>
      <w:r>
        <w:rPr>
          <w:sz w:val="24"/>
          <w:szCs w:val="28"/>
        </w:rPr>
        <w:t>Stills</w:t>
      </w:r>
      <w:proofErr w:type="spellEnd"/>
      <w:r>
        <w:rPr>
          <w:sz w:val="24"/>
          <w:szCs w:val="28"/>
        </w:rPr>
        <w:t xml:space="preserve"> und</w:t>
      </w:r>
      <w:r w:rsidRPr="00C128AE">
        <w:rPr>
          <w:sz w:val="24"/>
          <w:szCs w:val="28"/>
        </w:rPr>
        <w:t xml:space="preserve"> </w:t>
      </w:r>
      <w:proofErr w:type="spellStart"/>
      <w:r w:rsidRPr="00C128AE">
        <w:rPr>
          <w:sz w:val="24"/>
          <w:szCs w:val="28"/>
        </w:rPr>
        <w:t>Screen</w:t>
      </w:r>
      <w:r w:rsidR="00E31EC4">
        <w:rPr>
          <w:sz w:val="24"/>
          <w:szCs w:val="28"/>
        </w:rPr>
        <w:softHyphen/>
      </w:r>
      <w:r w:rsidRPr="00C128AE">
        <w:rPr>
          <w:sz w:val="24"/>
          <w:szCs w:val="28"/>
        </w:rPr>
        <w:t>shots</w:t>
      </w:r>
      <w:proofErr w:type="spellEnd"/>
      <w:r w:rsidRPr="00C128A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verwendet werden, diese </w:t>
      </w:r>
      <w:r w:rsidRPr="00C128AE">
        <w:rPr>
          <w:sz w:val="24"/>
          <w:szCs w:val="28"/>
        </w:rPr>
        <w:t xml:space="preserve">bieten </w:t>
      </w:r>
      <w:r>
        <w:rPr>
          <w:sz w:val="24"/>
          <w:szCs w:val="28"/>
        </w:rPr>
        <w:t xml:space="preserve">einen </w:t>
      </w:r>
      <w:r w:rsidRPr="00C128AE">
        <w:rPr>
          <w:sz w:val="24"/>
          <w:szCs w:val="28"/>
        </w:rPr>
        <w:t>Wiedererkennungswert</w:t>
      </w:r>
      <w:r>
        <w:rPr>
          <w:sz w:val="24"/>
          <w:szCs w:val="28"/>
        </w:rPr>
        <w:t xml:space="preserve">, so dass die Schülerinnen und Schüler einen </w:t>
      </w:r>
      <w:r w:rsidR="000C75D4">
        <w:rPr>
          <w:sz w:val="24"/>
          <w:szCs w:val="28"/>
        </w:rPr>
        <w:t>vereinfachten</w:t>
      </w:r>
      <w:r>
        <w:rPr>
          <w:sz w:val="24"/>
          <w:szCs w:val="28"/>
        </w:rPr>
        <w:t xml:space="preserve"> Zugang </w:t>
      </w:r>
      <w:r w:rsidR="00594530">
        <w:rPr>
          <w:sz w:val="24"/>
          <w:szCs w:val="28"/>
        </w:rPr>
        <w:t xml:space="preserve">zu möglichen Aufgabenstellungen </w:t>
      </w:r>
      <w:r>
        <w:rPr>
          <w:sz w:val="24"/>
          <w:szCs w:val="28"/>
        </w:rPr>
        <w:t>bekommen.</w:t>
      </w:r>
    </w:p>
    <w:p w:rsidR="0044273B" w:rsidRPr="00D07EB6" w:rsidRDefault="0044273B" w:rsidP="00F23AF4">
      <w:pPr>
        <w:spacing w:before="240"/>
        <w:jc w:val="both"/>
        <w:rPr>
          <w:rFonts w:cstheme="minorHAnsi"/>
          <w:b/>
        </w:rPr>
      </w:pPr>
      <w:r w:rsidRPr="00D07EB6">
        <w:rPr>
          <w:rFonts w:cstheme="minorHAnsi"/>
          <w:b/>
        </w:rPr>
        <w:t>Entwicklungschancen</w:t>
      </w:r>
    </w:p>
    <w:p w:rsidR="0044273B" w:rsidRPr="00D07EB6" w:rsidRDefault="0044273B" w:rsidP="00594530">
      <w:pPr>
        <w:pStyle w:val="Aufklapper"/>
        <w:ind w:left="0"/>
        <w:rPr>
          <w:rFonts w:asciiTheme="minorHAnsi" w:eastAsiaTheme="minorHAnsi" w:hAnsiTheme="minorHAnsi" w:cstheme="minorHAnsi"/>
          <w:color w:val="auto"/>
        </w:rPr>
      </w:pPr>
      <w:r w:rsidRPr="00D07EB6">
        <w:rPr>
          <w:rFonts w:asciiTheme="minorHAnsi" w:eastAsiaTheme="minorHAnsi" w:hAnsiTheme="minorHAnsi" w:cstheme="minorHAnsi"/>
          <w:color w:val="auto"/>
        </w:rPr>
        <w:t>Im zieldifferenten Lernen kann sowohl ein Zugang über das fachliche Lernen als auch über die Entwicklungschancen gelegt werden.</w:t>
      </w:r>
      <w:r w:rsidRPr="00D07EB6">
        <w:rPr>
          <w:rFonts w:asciiTheme="minorHAnsi" w:eastAsiaTheme="minorHAnsi" w:hAnsiTheme="minorHAnsi" w:cstheme="minorHAnsi"/>
        </w:rPr>
        <w:footnoteReference w:id="1"/>
      </w:r>
      <w:r w:rsidRPr="00D07EB6">
        <w:rPr>
          <w:rFonts w:asciiTheme="minorHAnsi" w:eastAsiaTheme="minorHAnsi" w:hAnsiTheme="minorHAnsi" w:cstheme="minorHAnsi"/>
          <w:color w:val="auto"/>
        </w:rPr>
        <w:t xml:space="preserve"> </w:t>
      </w:r>
    </w:p>
    <w:p w:rsidR="0044273B" w:rsidRPr="00D07EB6" w:rsidRDefault="0044273B" w:rsidP="00594530">
      <w:pPr>
        <w:pStyle w:val="Aufklapper"/>
        <w:ind w:left="0"/>
        <w:rPr>
          <w:rFonts w:asciiTheme="minorHAnsi" w:eastAsiaTheme="minorHAnsi" w:hAnsiTheme="minorHAnsi" w:cstheme="minorHAnsi"/>
          <w:color w:val="auto"/>
        </w:rPr>
      </w:pPr>
      <w:r w:rsidRPr="00D07EB6">
        <w:rPr>
          <w:rFonts w:asciiTheme="minorHAnsi" w:eastAsiaTheme="minorHAnsi" w:hAnsiTheme="minorHAnsi" w:cstheme="minorHAnsi"/>
          <w:color w:val="auto"/>
        </w:rPr>
        <w:t xml:space="preserve">In diesem </w:t>
      </w:r>
      <w:r w:rsidR="00F23AF4">
        <w:rPr>
          <w:rFonts w:asciiTheme="minorHAnsi" w:eastAsiaTheme="minorHAnsi" w:hAnsiTheme="minorHAnsi" w:cstheme="minorHAnsi"/>
          <w:color w:val="auto"/>
        </w:rPr>
        <w:t>Einstiegs</w:t>
      </w:r>
      <w:r w:rsidRPr="00D07EB6">
        <w:rPr>
          <w:rFonts w:asciiTheme="minorHAnsi" w:eastAsiaTheme="minorHAnsi" w:hAnsiTheme="minorHAnsi" w:cstheme="minorHAnsi"/>
          <w:color w:val="auto"/>
        </w:rPr>
        <w:t xml:space="preserve">setting können auf der Grundlage der individuellen </w:t>
      </w:r>
      <w:r w:rsidRPr="00D07EB6">
        <w:rPr>
          <w:rFonts w:asciiTheme="minorHAnsi" w:eastAsiaTheme="minorHAnsi" w:hAnsiTheme="minorHAnsi" w:cstheme="minorHAnsi"/>
          <w:color w:val="auto"/>
          <w:u w:val="single"/>
        </w:rPr>
        <w:t>Lern- und Ent</w:t>
      </w:r>
      <w:r w:rsidR="00873DF3">
        <w:rPr>
          <w:rFonts w:asciiTheme="minorHAnsi" w:eastAsiaTheme="minorHAnsi" w:hAnsiTheme="minorHAnsi" w:cstheme="minorHAnsi"/>
          <w:color w:val="auto"/>
          <w:u w:val="single"/>
        </w:rPr>
        <w:softHyphen/>
      </w:r>
      <w:r w:rsidRPr="00D07EB6">
        <w:rPr>
          <w:rFonts w:asciiTheme="minorHAnsi" w:eastAsiaTheme="minorHAnsi" w:hAnsiTheme="minorHAnsi" w:cstheme="minorHAnsi"/>
          <w:color w:val="auto"/>
          <w:u w:val="single"/>
        </w:rPr>
        <w:t>wick</w:t>
      </w:r>
      <w:r w:rsidR="00873DF3">
        <w:rPr>
          <w:rFonts w:asciiTheme="minorHAnsi" w:eastAsiaTheme="minorHAnsi" w:hAnsiTheme="minorHAnsi" w:cstheme="minorHAnsi"/>
          <w:color w:val="auto"/>
          <w:u w:val="single"/>
        </w:rPr>
        <w:softHyphen/>
      </w:r>
      <w:r w:rsidRPr="00D07EB6">
        <w:rPr>
          <w:rFonts w:asciiTheme="minorHAnsi" w:eastAsiaTheme="minorHAnsi" w:hAnsiTheme="minorHAnsi" w:cstheme="minorHAnsi"/>
          <w:color w:val="auto"/>
          <w:u w:val="single"/>
        </w:rPr>
        <w:t>lungsplanung</w:t>
      </w:r>
      <w:r w:rsidRPr="00D07EB6">
        <w:rPr>
          <w:rStyle w:val="Funotenzeichen"/>
          <w:rFonts w:asciiTheme="minorHAnsi" w:eastAsiaTheme="minorHAnsi" w:hAnsiTheme="minorHAnsi" w:cstheme="minorHAnsi"/>
          <w:color w:val="auto"/>
          <w:u w:val="single"/>
        </w:rPr>
        <w:footnoteReference w:id="2"/>
      </w:r>
      <w:r w:rsidRPr="00D07EB6">
        <w:rPr>
          <w:rFonts w:asciiTheme="minorHAnsi" w:eastAsiaTheme="minorHAnsi" w:hAnsiTheme="minorHAnsi" w:cstheme="minorHAnsi"/>
          <w:color w:val="auto"/>
        </w:rPr>
        <w:t xml:space="preserve"> schwerpunktmäßig folgende Entwicklungschancen zum Tragen kommen: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261"/>
        <w:gridCol w:w="3969"/>
      </w:tblGrid>
      <w:tr w:rsidR="0044273B" w:rsidRPr="00D07EB6" w:rsidTr="00823F9E">
        <w:trPr>
          <w:trHeight w:val="69"/>
        </w:trPr>
        <w:tc>
          <w:tcPr>
            <w:tcW w:w="1809" w:type="dxa"/>
            <w:shd w:val="clear" w:color="auto" w:fill="FFFFFF" w:themeFill="background1"/>
          </w:tcPr>
          <w:p w:rsidR="0044273B" w:rsidRPr="00D07EB6" w:rsidRDefault="0044273B" w:rsidP="00823F9E">
            <w:pPr>
              <w:rPr>
                <w:rFonts w:cstheme="minorHAnsi"/>
                <w:b/>
              </w:rPr>
            </w:pPr>
            <w:r w:rsidRPr="00D07EB6">
              <w:rPr>
                <w:rFonts w:cstheme="minorHAnsi"/>
                <w:b/>
              </w:rPr>
              <w:t>Entwicklungs-</w:t>
            </w:r>
            <w:proofErr w:type="spellStart"/>
            <w:r w:rsidRPr="00D07EB6">
              <w:rPr>
                <w:rFonts w:cstheme="minorHAnsi"/>
                <w:b/>
              </w:rPr>
              <w:t>bereiche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44273B" w:rsidRPr="00D07EB6" w:rsidRDefault="0044273B" w:rsidP="00823F9E">
            <w:pPr>
              <w:rPr>
                <w:rFonts w:cstheme="minorHAnsi"/>
                <w:b/>
              </w:rPr>
            </w:pPr>
            <w:r w:rsidRPr="00D07EB6">
              <w:rPr>
                <w:rFonts w:cstheme="minorHAnsi"/>
                <w:b/>
              </w:rPr>
              <w:t>Chancen für die Förderung</w:t>
            </w:r>
          </w:p>
        </w:tc>
        <w:tc>
          <w:tcPr>
            <w:tcW w:w="3969" w:type="dxa"/>
            <w:shd w:val="clear" w:color="auto" w:fill="FFFFFF" w:themeFill="background1"/>
          </w:tcPr>
          <w:p w:rsidR="0044273B" w:rsidRPr="00D07EB6" w:rsidRDefault="0044273B" w:rsidP="00823F9E">
            <w:pPr>
              <w:rPr>
                <w:rFonts w:cstheme="minorHAnsi"/>
                <w:b/>
              </w:rPr>
            </w:pPr>
            <w:r w:rsidRPr="00D07EB6">
              <w:rPr>
                <w:rFonts w:cstheme="minorHAnsi"/>
                <w:b/>
              </w:rPr>
              <w:t xml:space="preserve"> (Mögliche) Konkretisierung</w:t>
            </w:r>
          </w:p>
        </w:tc>
      </w:tr>
      <w:tr w:rsidR="0044273B" w:rsidRPr="00D07EB6" w:rsidTr="00823F9E">
        <w:trPr>
          <w:trHeight w:val="69"/>
        </w:trPr>
        <w:tc>
          <w:tcPr>
            <w:tcW w:w="1809" w:type="dxa"/>
            <w:shd w:val="clear" w:color="auto" w:fill="FFFFFF" w:themeFill="background1"/>
          </w:tcPr>
          <w:p w:rsidR="0044273B" w:rsidRPr="00594530" w:rsidRDefault="0044273B" w:rsidP="00823F9E">
            <w:pPr>
              <w:spacing w:before="120" w:after="120"/>
              <w:rPr>
                <w:rFonts w:cstheme="minorHAnsi"/>
              </w:rPr>
            </w:pPr>
            <w:r w:rsidRPr="00594530">
              <w:rPr>
                <w:rFonts w:cstheme="minorHAnsi"/>
              </w:rPr>
              <w:t xml:space="preserve">kognitive Entwicklung bzw. Lernentwicklung </w:t>
            </w:r>
          </w:p>
        </w:tc>
        <w:tc>
          <w:tcPr>
            <w:tcW w:w="3261" w:type="dxa"/>
            <w:shd w:val="clear" w:color="auto" w:fill="FFFFFF" w:themeFill="background1"/>
          </w:tcPr>
          <w:p w:rsidR="0044273B" w:rsidRPr="00594530" w:rsidRDefault="0044273B" w:rsidP="00823F9E">
            <w:pPr>
              <w:spacing w:before="120" w:after="0"/>
              <w:ind w:left="159" w:hanging="159"/>
              <w:rPr>
                <w:rFonts w:cstheme="minorHAnsi"/>
              </w:rPr>
            </w:pPr>
            <w:r w:rsidRPr="00594530">
              <w:rPr>
                <w:rFonts w:cstheme="minorHAnsi"/>
              </w:rPr>
              <w:t>- mehrkanaliges Lernen</w:t>
            </w:r>
          </w:p>
          <w:p w:rsidR="0044273B" w:rsidRPr="00594530" w:rsidRDefault="0044273B" w:rsidP="00823F9E">
            <w:pPr>
              <w:spacing w:after="0"/>
              <w:ind w:left="159" w:hanging="159"/>
              <w:rPr>
                <w:rFonts w:cstheme="minorHAnsi"/>
              </w:rPr>
            </w:pPr>
          </w:p>
          <w:p w:rsidR="0044273B" w:rsidRPr="00594530" w:rsidRDefault="0044273B" w:rsidP="00823F9E">
            <w:pPr>
              <w:spacing w:after="0"/>
              <w:rPr>
                <w:rFonts w:cstheme="minorHAnsi"/>
              </w:rPr>
            </w:pPr>
          </w:p>
          <w:p w:rsidR="0044273B" w:rsidRPr="00594530" w:rsidRDefault="0044273B" w:rsidP="00F23AF4">
            <w:pPr>
              <w:spacing w:before="120" w:after="0"/>
              <w:ind w:left="159" w:hanging="159"/>
              <w:rPr>
                <w:rFonts w:cstheme="minorHAnsi"/>
              </w:rPr>
            </w:pPr>
            <w:r w:rsidRPr="00594530">
              <w:rPr>
                <w:rFonts w:cstheme="minorHAnsi"/>
              </w:rPr>
              <w:t xml:space="preserve">- </w:t>
            </w:r>
            <w:r w:rsidR="00594530" w:rsidRPr="00594530">
              <w:rPr>
                <w:rFonts w:cstheme="minorHAnsi"/>
              </w:rPr>
              <w:t>selbstreguliertes Lernen</w:t>
            </w:r>
            <w:r w:rsidRPr="00594530">
              <w:rPr>
                <w:rFonts w:cstheme="minorHAnsi"/>
              </w:rPr>
              <w:t xml:space="preserve"> (Differenzierung hinsichtlich der Lernzeit &amp; der kognitiven Anforderung)</w:t>
            </w:r>
          </w:p>
        </w:tc>
        <w:tc>
          <w:tcPr>
            <w:tcW w:w="3969" w:type="dxa"/>
            <w:shd w:val="clear" w:color="auto" w:fill="FFFFFF" w:themeFill="background1"/>
          </w:tcPr>
          <w:p w:rsidR="0044273B" w:rsidRPr="00594530" w:rsidRDefault="00594530" w:rsidP="00D67671">
            <w:pPr>
              <w:spacing w:before="120" w:after="0"/>
              <w:rPr>
                <w:rFonts w:cstheme="minorHAnsi"/>
              </w:rPr>
            </w:pPr>
            <w:r w:rsidRPr="00594530">
              <w:rPr>
                <w:rFonts w:cstheme="minorHAnsi"/>
              </w:rPr>
              <w:t xml:space="preserve">Die </w:t>
            </w:r>
            <w:proofErr w:type="spellStart"/>
            <w:r w:rsidR="0044273B" w:rsidRPr="00594530">
              <w:rPr>
                <w:rFonts w:cstheme="minorHAnsi"/>
              </w:rPr>
              <w:t>Erklärvideo</w:t>
            </w:r>
            <w:r w:rsidRPr="00594530">
              <w:rPr>
                <w:rFonts w:cstheme="minorHAnsi"/>
              </w:rPr>
              <w:t>s</w:t>
            </w:r>
            <w:proofErr w:type="spellEnd"/>
            <w:r w:rsidR="0044273B" w:rsidRPr="00594530">
              <w:rPr>
                <w:rFonts w:cstheme="minorHAnsi"/>
              </w:rPr>
              <w:t xml:space="preserve"> bieten den Lernenden den Zugang über den visuellen und auditiven Kanal.</w:t>
            </w:r>
          </w:p>
          <w:p w:rsidR="0044273B" w:rsidRPr="00594530" w:rsidRDefault="00594530" w:rsidP="00823F9E">
            <w:pPr>
              <w:spacing w:before="120" w:after="0"/>
              <w:rPr>
                <w:rFonts w:cstheme="minorHAnsi"/>
              </w:rPr>
            </w:pPr>
            <w:r w:rsidRPr="00594530">
              <w:rPr>
                <w:rFonts w:cstheme="minorHAnsi"/>
              </w:rPr>
              <w:t xml:space="preserve">Die Videos können gestoppt werden oder erneut angesehen werden. Der Lernende entscheidet selbst über sein Lerntempo. </w:t>
            </w:r>
          </w:p>
          <w:p w:rsidR="0044273B" w:rsidRPr="00594530" w:rsidRDefault="0044273B" w:rsidP="00823F9E">
            <w:pPr>
              <w:spacing w:after="240"/>
              <w:rPr>
                <w:rFonts w:cstheme="minorHAnsi"/>
              </w:rPr>
            </w:pPr>
          </w:p>
        </w:tc>
      </w:tr>
      <w:tr w:rsidR="00F23AF4" w:rsidRPr="00D07EB6" w:rsidTr="00823F9E">
        <w:trPr>
          <w:trHeight w:val="566"/>
        </w:trPr>
        <w:tc>
          <w:tcPr>
            <w:tcW w:w="1809" w:type="dxa"/>
            <w:shd w:val="clear" w:color="auto" w:fill="FFFFFF" w:themeFill="background1"/>
          </w:tcPr>
          <w:p w:rsidR="00F23AF4" w:rsidRPr="00594530" w:rsidRDefault="00F23AF4" w:rsidP="00F23AF4">
            <w:pPr>
              <w:spacing w:after="0"/>
              <w:rPr>
                <w:rFonts w:cstheme="minorHAnsi"/>
              </w:rPr>
            </w:pPr>
          </w:p>
          <w:p w:rsidR="00F23AF4" w:rsidRPr="00594530" w:rsidRDefault="00F23AF4" w:rsidP="00F23AF4">
            <w:pPr>
              <w:rPr>
                <w:rFonts w:cstheme="minorHAnsi"/>
              </w:rPr>
            </w:pPr>
            <w:r w:rsidRPr="00594530">
              <w:rPr>
                <w:rFonts w:cstheme="minorHAnsi"/>
              </w:rPr>
              <w:t>sprachliches und kommunikatives Handeln</w:t>
            </w:r>
          </w:p>
        </w:tc>
        <w:tc>
          <w:tcPr>
            <w:tcW w:w="3261" w:type="dxa"/>
            <w:shd w:val="clear" w:color="auto" w:fill="FFFFFF" w:themeFill="background1"/>
          </w:tcPr>
          <w:p w:rsidR="00F23AF4" w:rsidRPr="00594530" w:rsidRDefault="00F23AF4" w:rsidP="00F23AF4">
            <w:pPr>
              <w:pStyle w:val="Listenabsatz1"/>
              <w:spacing w:after="0"/>
              <w:ind w:left="88"/>
              <w:rPr>
                <w:rFonts w:cstheme="minorHAnsi"/>
              </w:rPr>
            </w:pPr>
          </w:p>
          <w:p w:rsidR="00F23AF4" w:rsidRPr="00594530" w:rsidRDefault="00F23AF4" w:rsidP="00F23AF4">
            <w:pPr>
              <w:pStyle w:val="Listenabsatz1"/>
              <w:spacing w:after="0"/>
              <w:ind w:left="88"/>
              <w:rPr>
                <w:rFonts w:cstheme="minorHAnsi"/>
              </w:rPr>
            </w:pPr>
            <w:r w:rsidRPr="00594530">
              <w:rPr>
                <w:rFonts w:cstheme="minorHAnsi"/>
              </w:rPr>
              <w:t xml:space="preserve">- </w:t>
            </w:r>
            <w:r w:rsidR="00D67671">
              <w:rPr>
                <w:rFonts w:cstheme="minorHAnsi"/>
              </w:rPr>
              <w:t>Partnerarbeit</w:t>
            </w:r>
          </w:p>
        </w:tc>
        <w:tc>
          <w:tcPr>
            <w:tcW w:w="3969" w:type="dxa"/>
            <w:shd w:val="clear" w:color="auto" w:fill="FFFFFF" w:themeFill="background1"/>
          </w:tcPr>
          <w:p w:rsidR="00D67671" w:rsidRDefault="00D67671" w:rsidP="00D67671">
            <w:pPr>
              <w:pStyle w:val="Listenabsatz1"/>
              <w:spacing w:before="120" w:after="0"/>
              <w:ind w:left="91"/>
              <w:rPr>
                <w:rFonts w:cstheme="minorHAnsi"/>
                <w:sz w:val="6"/>
                <w:szCs w:val="6"/>
              </w:rPr>
            </w:pPr>
          </w:p>
          <w:p w:rsidR="00D67671" w:rsidRDefault="00D67671" w:rsidP="00D67671">
            <w:pPr>
              <w:pStyle w:val="Listenabsatz1"/>
              <w:spacing w:before="120" w:after="0"/>
              <w:ind w:left="91"/>
              <w:rPr>
                <w:rFonts w:cstheme="minorHAnsi"/>
                <w:sz w:val="6"/>
                <w:szCs w:val="6"/>
              </w:rPr>
            </w:pPr>
          </w:p>
          <w:p w:rsidR="00F23AF4" w:rsidRPr="00F23AF4" w:rsidRDefault="00F23AF4" w:rsidP="00D67671">
            <w:pPr>
              <w:pStyle w:val="Listenabsatz1"/>
              <w:spacing w:before="120" w:after="0"/>
              <w:ind w:left="91"/>
              <w:rPr>
                <w:rFonts w:cstheme="minorHAnsi"/>
              </w:rPr>
            </w:pPr>
            <w:r w:rsidRPr="00F23AF4">
              <w:rPr>
                <w:rFonts w:cstheme="minorHAnsi"/>
              </w:rPr>
              <w:t>Ermöglichen der kognitiven Leistung durch Reduzierung der sprachlichen Barriere</w:t>
            </w:r>
          </w:p>
          <w:p w:rsidR="00F23AF4" w:rsidRPr="00F23AF4" w:rsidRDefault="00F23AF4" w:rsidP="00F23AF4">
            <w:pPr>
              <w:pStyle w:val="Listenabsatz1"/>
              <w:spacing w:after="0"/>
              <w:ind w:left="88"/>
              <w:rPr>
                <w:rFonts w:cstheme="minorHAnsi"/>
              </w:rPr>
            </w:pPr>
            <w:r w:rsidRPr="00F23AF4">
              <w:rPr>
                <w:rFonts w:cstheme="minorHAnsi"/>
              </w:rPr>
              <w:t>Untertitel in Lernvideos</w:t>
            </w:r>
          </w:p>
          <w:p w:rsidR="00F23AF4" w:rsidRPr="00F23AF4" w:rsidRDefault="00F23AF4" w:rsidP="00F23AF4">
            <w:pPr>
              <w:pStyle w:val="Listenabsatz1"/>
              <w:spacing w:after="0"/>
              <w:ind w:left="88"/>
              <w:rPr>
                <w:rFonts w:cstheme="minorHAnsi"/>
              </w:rPr>
            </w:pPr>
            <w:r w:rsidRPr="00F23AF4">
              <w:rPr>
                <w:rFonts w:cstheme="minorHAnsi"/>
              </w:rPr>
              <w:lastRenderedPageBreak/>
              <w:t>kooperative Erarbeitung eines Erklärungsvideos (Umsetzung im szenischen Spiel)</w:t>
            </w:r>
          </w:p>
          <w:p w:rsidR="00F23AF4" w:rsidRPr="00594530" w:rsidRDefault="00F23AF4" w:rsidP="00F23AF4">
            <w:pPr>
              <w:pStyle w:val="Listenabsatz1"/>
              <w:spacing w:after="120"/>
              <w:ind w:left="91"/>
              <w:rPr>
                <w:rFonts w:cstheme="minorHAnsi"/>
              </w:rPr>
            </w:pPr>
          </w:p>
        </w:tc>
      </w:tr>
    </w:tbl>
    <w:p w:rsidR="0044273B" w:rsidRDefault="0044273B" w:rsidP="0059463C">
      <w:pPr>
        <w:pStyle w:val="Funotentext"/>
        <w:spacing w:line="276" w:lineRule="auto"/>
        <w:rPr>
          <w:sz w:val="24"/>
          <w:szCs w:val="28"/>
        </w:rPr>
      </w:pPr>
    </w:p>
    <w:p w:rsidR="003837A2" w:rsidRDefault="003837A2" w:rsidP="0059463C">
      <w:pPr>
        <w:pStyle w:val="Funotentext"/>
        <w:spacing w:line="276" w:lineRule="auto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431"/>
        <w:gridCol w:w="3799"/>
      </w:tblGrid>
      <w:tr w:rsidR="00204AF2" w:rsidRPr="00D07EB6" w:rsidTr="00D67671">
        <w:trPr>
          <w:trHeight w:val="69"/>
        </w:trPr>
        <w:tc>
          <w:tcPr>
            <w:tcW w:w="1809" w:type="dxa"/>
            <w:shd w:val="clear" w:color="auto" w:fill="FFFFFF" w:themeFill="background1"/>
          </w:tcPr>
          <w:p w:rsidR="00204AF2" w:rsidRPr="00D07EB6" w:rsidRDefault="00204AF2" w:rsidP="00823F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Version</w:t>
            </w:r>
          </w:p>
        </w:tc>
        <w:tc>
          <w:tcPr>
            <w:tcW w:w="3431" w:type="dxa"/>
            <w:shd w:val="clear" w:color="auto" w:fill="FFFFFF" w:themeFill="background1"/>
          </w:tcPr>
          <w:p w:rsidR="00204AF2" w:rsidRPr="00D07EB6" w:rsidRDefault="00204AF2" w:rsidP="00823F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Geeignete Förderschwerpunkte</w:t>
            </w:r>
          </w:p>
        </w:tc>
        <w:tc>
          <w:tcPr>
            <w:tcW w:w="3799" w:type="dxa"/>
            <w:shd w:val="clear" w:color="auto" w:fill="FFFFFF" w:themeFill="background1"/>
          </w:tcPr>
          <w:p w:rsidR="00204AF2" w:rsidRPr="00D07EB6" w:rsidRDefault="00204AF2" w:rsidP="00823F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Vorteile</w:t>
            </w:r>
          </w:p>
        </w:tc>
      </w:tr>
      <w:tr w:rsidR="00204AF2" w:rsidRPr="00594530" w:rsidTr="00D67671">
        <w:trPr>
          <w:trHeight w:val="69"/>
        </w:trPr>
        <w:tc>
          <w:tcPr>
            <w:tcW w:w="1809" w:type="dxa"/>
            <w:shd w:val="clear" w:color="auto" w:fill="FFFFFF" w:themeFill="background1"/>
          </w:tcPr>
          <w:p w:rsidR="00D67671" w:rsidRPr="00594530" w:rsidRDefault="00204AF2" w:rsidP="00823F9E">
            <w:pPr>
              <w:spacing w:before="120"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Erklärvideo</w:t>
            </w:r>
            <w:proofErr w:type="spellEnd"/>
            <w:r>
              <w:rPr>
                <w:rFonts w:cstheme="minorHAnsi"/>
              </w:rPr>
              <w:t xml:space="preserve"> mit Ton – ohne Untertitel</w:t>
            </w:r>
            <w:r w:rsidRPr="00594530">
              <w:rPr>
                <w:rFonts w:cstheme="minorHAnsi"/>
              </w:rPr>
              <w:t xml:space="preserve"> </w:t>
            </w:r>
          </w:p>
        </w:tc>
        <w:tc>
          <w:tcPr>
            <w:tcW w:w="3431" w:type="dxa"/>
            <w:shd w:val="clear" w:color="auto" w:fill="FFFFFF" w:themeFill="background1"/>
          </w:tcPr>
          <w:p w:rsidR="00204AF2" w:rsidRPr="00594530" w:rsidRDefault="00D67671" w:rsidP="00D67671">
            <w:pPr>
              <w:spacing w:before="120" w:after="0"/>
              <w:rPr>
                <w:rFonts w:cstheme="minorHAnsi"/>
              </w:rPr>
            </w:pPr>
            <w:r>
              <w:rPr>
                <w:rFonts w:cstheme="minorHAnsi"/>
              </w:rPr>
              <w:t>Lernende ohne Förderschwerpunkt</w:t>
            </w:r>
          </w:p>
        </w:tc>
        <w:tc>
          <w:tcPr>
            <w:tcW w:w="3799" w:type="dxa"/>
            <w:shd w:val="clear" w:color="auto" w:fill="FFFFFF" w:themeFill="background1"/>
          </w:tcPr>
          <w:p w:rsidR="00204AF2" w:rsidRDefault="00204AF2" w:rsidP="00823F9E">
            <w:pPr>
              <w:spacing w:before="120" w:after="0"/>
              <w:rPr>
                <w:rFonts w:cstheme="minorHAnsi"/>
              </w:rPr>
            </w:pPr>
            <w:r>
              <w:rPr>
                <w:rFonts w:cstheme="minorHAnsi"/>
              </w:rPr>
              <w:t>Keine Ablenkung durch Untertitel</w:t>
            </w:r>
            <w:r w:rsidR="008F6B89">
              <w:rPr>
                <w:rFonts w:cstheme="minorHAnsi"/>
              </w:rPr>
              <w:t xml:space="preserve"> oder Farbskala.</w:t>
            </w:r>
            <w:r w:rsidR="00D67671">
              <w:rPr>
                <w:rFonts w:cstheme="minorHAnsi"/>
              </w:rPr>
              <w:t xml:space="preserve"> </w:t>
            </w:r>
          </w:p>
          <w:p w:rsidR="00204AF2" w:rsidRPr="00594530" w:rsidRDefault="00204AF2" w:rsidP="00823F9E">
            <w:pPr>
              <w:spacing w:after="240"/>
              <w:rPr>
                <w:rFonts w:cstheme="minorHAnsi"/>
              </w:rPr>
            </w:pPr>
          </w:p>
        </w:tc>
      </w:tr>
      <w:tr w:rsidR="00D67671" w:rsidRPr="00594530" w:rsidTr="00D67671">
        <w:trPr>
          <w:trHeight w:val="69"/>
        </w:trPr>
        <w:tc>
          <w:tcPr>
            <w:tcW w:w="1809" w:type="dxa"/>
            <w:shd w:val="clear" w:color="auto" w:fill="FFFFFF" w:themeFill="background1"/>
          </w:tcPr>
          <w:p w:rsidR="00D67671" w:rsidRDefault="00D67671" w:rsidP="00D67671">
            <w:pPr>
              <w:spacing w:before="120"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Erklärvideo</w:t>
            </w:r>
            <w:proofErr w:type="spellEnd"/>
            <w:r>
              <w:rPr>
                <w:rFonts w:cstheme="minorHAnsi"/>
              </w:rPr>
              <w:t xml:space="preserve"> mit Ton u. Farbskala</w:t>
            </w:r>
            <w:r w:rsidRPr="00594530">
              <w:rPr>
                <w:rFonts w:cstheme="minorHAnsi"/>
              </w:rPr>
              <w:t xml:space="preserve"> </w:t>
            </w:r>
          </w:p>
          <w:p w:rsidR="00D67671" w:rsidRDefault="00D67671" w:rsidP="00D6767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D67671" w:rsidRDefault="00D67671" w:rsidP="00D67671">
            <w:pPr>
              <w:spacing w:before="120" w:after="0"/>
              <w:rPr>
                <w:rFonts w:cstheme="minorHAnsi"/>
              </w:rPr>
            </w:pPr>
            <w:r>
              <w:rPr>
                <w:rFonts w:cstheme="minorHAnsi"/>
              </w:rPr>
              <w:t>Förderschwerpunkt Lernen</w:t>
            </w:r>
          </w:p>
        </w:tc>
        <w:tc>
          <w:tcPr>
            <w:tcW w:w="3799" w:type="dxa"/>
            <w:shd w:val="clear" w:color="auto" w:fill="FFFFFF" w:themeFill="background1"/>
          </w:tcPr>
          <w:p w:rsidR="00D67671" w:rsidRDefault="00D67671" w:rsidP="00D6767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Die Farbskala kann eine kognitive Unterstützung bieten, um die Färbungen des Indikators in den unterschiedlichen pH-Bereichen nachzuvollziehen und abzuspeichern. </w:t>
            </w:r>
          </w:p>
        </w:tc>
      </w:tr>
      <w:tr w:rsidR="00204AF2" w:rsidRPr="00594530" w:rsidTr="00D67671">
        <w:trPr>
          <w:trHeight w:val="566"/>
        </w:trPr>
        <w:tc>
          <w:tcPr>
            <w:tcW w:w="1809" w:type="dxa"/>
            <w:shd w:val="clear" w:color="auto" w:fill="FFFFFF" w:themeFill="background1"/>
          </w:tcPr>
          <w:p w:rsidR="00204AF2" w:rsidRPr="00594530" w:rsidRDefault="00204AF2" w:rsidP="00823F9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Erklärvideo</w:t>
            </w:r>
            <w:proofErr w:type="spellEnd"/>
            <w:r>
              <w:rPr>
                <w:rFonts w:cstheme="minorHAnsi"/>
              </w:rPr>
              <w:t xml:space="preserve"> mit Ton – mit Untertitel</w:t>
            </w:r>
          </w:p>
        </w:tc>
        <w:tc>
          <w:tcPr>
            <w:tcW w:w="3431" w:type="dxa"/>
            <w:shd w:val="clear" w:color="auto" w:fill="FFFFFF" w:themeFill="background1"/>
          </w:tcPr>
          <w:p w:rsidR="00204AF2" w:rsidRPr="00594530" w:rsidRDefault="00204AF2" w:rsidP="00823F9E">
            <w:pPr>
              <w:pStyle w:val="Listenabsatz1"/>
              <w:spacing w:after="0"/>
              <w:ind w:left="160" w:hanging="160"/>
              <w:rPr>
                <w:rFonts w:cstheme="minorHAnsi"/>
              </w:rPr>
            </w:pPr>
            <w:r>
              <w:rPr>
                <w:rFonts w:cstheme="minorHAnsi"/>
              </w:rPr>
              <w:t xml:space="preserve">Förderschwerpunkt </w:t>
            </w:r>
            <w:r w:rsidR="00F23AF4">
              <w:rPr>
                <w:rFonts w:cstheme="minorHAnsi"/>
              </w:rPr>
              <w:t>Sehen</w:t>
            </w:r>
          </w:p>
          <w:p w:rsidR="00204AF2" w:rsidRPr="00594530" w:rsidRDefault="00204AF2" w:rsidP="00823F9E">
            <w:pPr>
              <w:pStyle w:val="Listenabsatz1"/>
              <w:spacing w:after="0"/>
              <w:ind w:left="88"/>
              <w:rPr>
                <w:rFonts w:cstheme="minorHAnsi"/>
              </w:rPr>
            </w:pPr>
          </w:p>
        </w:tc>
        <w:tc>
          <w:tcPr>
            <w:tcW w:w="3799" w:type="dxa"/>
            <w:shd w:val="clear" w:color="auto" w:fill="FFFFFF" w:themeFill="background1"/>
          </w:tcPr>
          <w:p w:rsidR="00204AF2" w:rsidRPr="00594530" w:rsidRDefault="00F23AF4" w:rsidP="00823F9E">
            <w:pPr>
              <w:pStyle w:val="Listenabsatz1"/>
              <w:spacing w:after="120"/>
              <w:ind w:left="91"/>
              <w:rPr>
                <w:rFonts w:cstheme="minorHAnsi"/>
              </w:rPr>
            </w:pPr>
            <w:r>
              <w:t>d</w:t>
            </w:r>
            <w:r w:rsidR="00D67671">
              <w:t>em</w:t>
            </w:r>
            <w:r>
              <w:t xml:space="preserve"> eingeschränkte</w:t>
            </w:r>
            <w:r w:rsidR="00D67671">
              <w:t>n</w:t>
            </w:r>
            <w:r>
              <w:t xml:space="preserve"> Sehvermögen der sehgeschädigten Schülerinnen und Schüler wird durch den </w:t>
            </w:r>
            <w:r w:rsidR="00D67671">
              <w:t>unterlegten Ton entsprochen.</w:t>
            </w:r>
          </w:p>
        </w:tc>
      </w:tr>
      <w:tr w:rsidR="00F23AF4" w:rsidRPr="00594530" w:rsidTr="00D67671">
        <w:trPr>
          <w:trHeight w:val="566"/>
        </w:trPr>
        <w:tc>
          <w:tcPr>
            <w:tcW w:w="1809" w:type="dxa"/>
            <w:shd w:val="clear" w:color="auto" w:fill="FFFFFF" w:themeFill="background1"/>
          </w:tcPr>
          <w:p w:rsidR="00F23AF4" w:rsidRPr="00594530" w:rsidRDefault="00F23AF4" w:rsidP="00823F9E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Erklärvideo</w:t>
            </w:r>
            <w:proofErr w:type="spellEnd"/>
            <w:r>
              <w:rPr>
                <w:rFonts w:cstheme="minorHAnsi"/>
              </w:rPr>
              <w:t xml:space="preserve"> mit Farb</w:t>
            </w:r>
            <w:r w:rsidR="00D67671">
              <w:rPr>
                <w:rFonts w:cstheme="minorHAnsi"/>
              </w:rPr>
              <w:t>skala</w:t>
            </w:r>
          </w:p>
        </w:tc>
        <w:tc>
          <w:tcPr>
            <w:tcW w:w="3431" w:type="dxa"/>
            <w:shd w:val="clear" w:color="auto" w:fill="FFFFFF" w:themeFill="background1"/>
          </w:tcPr>
          <w:p w:rsidR="00F23AF4" w:rsidRPr="00594530" w:rsidRDefault="00D67671" w:rsidP="00823F9E">
            <w:pPr>
              <w:pStyle w:val="Listenabsatz1"/>
              <w:spacing w:after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Förderschwerpunkt Hören</w:t>
            </w:r>
          </w:p>
        </w:tc>
        <w:tc>
          <w:tcPr>
            <w:tcW w:w="3799" w:type="dxa"/>
            <w:shd w:val="clear" w:color="auto" w:fill="FFFFFF" w:themeFill="background1"/>
          </w:tcPr>
          <w:p w:rsidR="00F23AF4" w:rsidRPr="00594530" w:rsidRDefault="00D67671" w:rsidP="00D67671">
            <w:pPr>
              <w:pStyle w:val="Listenabsatz1"/>
              <w:spacing w:after="12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Hörbeeinträchtigten wird durch die Farbskala ein zusätzlicher Kanal geboten, die Färbungen des Indikators in den unterschiedlichen pH-Bereichen abzuspeichern.</w:t>
            </w:r>
          </w:p>
        </w:tc>
      </w:tr>
    </w:tbl>
    <w:p w:rsidR="007C4DF8" w:rsidRDefault="007C4DF8" w:rsidP="0059463C">
      <w:pPr>
        <w:pStyle w:val="Funotentext"/>
        <w:spacing w:line="276" w:lineRule="auto"/>
        <w:rPr>
          <w:sz w:val="24"/>
          <w:szCs w:val="28"/>
        </w:rPr>
      </w:pPr>
    </w:p>
    <w:p w:rsidR="00F67FFD" w:rsidRDefault="00F67FFD" w:rsidP="00F67FFD">
      <w:pPr>
        <w:pStyle w:val="Funotentext"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Der Text „Zum Einsatz digitaler Medien…“ bietet u.a. Informationen zu verschiedenen Möglichkeiten, digitales, differenzierendes Unterrichtsmaterial zu den </w:t>
      </w:r>
      <w:proofErr w:type="spellStart"/>
      <w:r>
        <w:rPr>
          <w:sz w:val="24"/>
          <w:szCs w:val="28"/>
        </w:rPr>
        <w:t>Erklärvideos</w:t>
      </w:r>
      <w:proofErr w:type="spellEnd"/>
      <w:r>
        <w:rPr>
          <w:sz w:val="24"/>
          <w:szCs w:val="28"/>
        </w:rPr>
        <w:t xml:space="preserve"> zu erstellen.</w:t>
      </w:r>
      <w:r w:rsidRPr="00C07DE3">
        <w:rPr>
          <w:sz w:val="24"/>
          <w:szCs w:val="28"/>
        </w:rPr>
        <w:t xml:space="preserve"> </w:t>
      </w:r>
    </w:p>
    <w:p w:rsidR="007C4DF8" w:rsidRDefault="007C4DF8" w:rsidP="007C4DF8">
      <w:pPr>
        <w:jc w:val="both"/>
        <w:rPr>
          <w:rFonts w:ascii="Arial" w:hAnsi="Arial" w:cs="Arial"/>
          <w:b/>
        </w:rPr>
      </w:pPr>
    </w:p>
    <w:sectPr w:rsidR="007C4DF8" w:rsidSect="00095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C7" w:rsidRDefault="005E52C7" w:rsidP="00E83901">
      <w:pPr>
        <w:spacing w:after="0" w:line="240" w:lineRule="auto"/>
      </w:pPr>
      <w:r>
        <w:separator/>
      </w:r>
    </w:p>
  </w:endnote>
  <w:endnote w:type="continuationSeparator" w:id="0">
    <w:p w:rsidR="005E52C7" w:rsidRDefault="005E52C7" w:rsidP="00E8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F3" w:rsidRDefault="00873DF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5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47065916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0E3556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0E3556" w:rsidRDefault="000E355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0E3556" w:rsidRDefault="00EB73C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0E3556">
                <w:instrText>PAGE    \* MERGEFORMAT</w:instrText>
              </w:r>
              <w:r>
                <w:fldChar w:fldCharType="separate"/>
              </w:r>
              <w:r w:rsidR="00873DF3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0E3556" w:rsidRDefault="000E355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F3" w:rsidRDefault="00873DF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C7" w:rsidRDefault="005E52C7" w:rsidP="00E83901">
      <w:pPr>
        <w:spacing w:after="0" w:line="240" w:lineRule="auto"/>
      </w:pPr>
      <w:r>
        <w:separator/>
      </w:r>
    </w:p>
  </w:footnote>
  <w:footnote w:type="continuationSeparator" w:id="0">
    <w:p w:rsidR="005E52C7" w:rsidRDefault="005E52C7" w:rsidP="00E83901">
      <w:pPr>
        <w:spacing w:after="0" w:line="240" w:lineRule="auto"/>
      </w:pPr>
      <w:r>
        <w:continuationSeparator/>
      </w:r>
    </w:p>
  </w:footnote>
  <w:footnote w:id="1">
    <w:p w:rsidR="0044273B" w:rsidRDefault="0044273B" w:rsidP="0044273B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1" w:history="1">
        <w:r w:rsidRPr="00123BF8">
          <w:rPr>
            <w:rStyle w:val="Hyperlink"/>
          </w:rPr>
          <w:t>https://www.schulentwicklung.nrw.de/cms/inklusiver-fachunterricht/entwicklungsbereiche/index.html</w:t>
        </w:r>
      </w:hyperlink>
      <w:r>
        <w:t xml:space="preserve"> </w:t>
      </w:r>
    </w:p>
  </w:footnote>
  <w:footnote w:id="2">
    <w:p w:rsidR="0044273B" w:rsidRDefault="0044273B" w:rsidP="0044273B">
      <w:pPr>
        <w:pStyle w:val="Funotentext"/>
      </w:pPr>
      <w:r>
        <w:rPr>
          <w:rStyle w:val="Funotenzeichen"/>
        </w:rPr>
        <w:footnoteRef/>
      </w:r>
      <w:r>
        <w:t xml:space="preserve"> bitte direkt verlinken: </w:t>
      </w:r>
      <w:hyperlink r:id="rId2" w:history="1">
        <w:r w:rsidRPr="004F2FE6">
          <w:rPr>
            <w:rStyle w:val="Hyperlink"/>
          </w:rPr>
          <w:t>https://www.schulentwicklung.nrw.de/q/inklusive-schulische-bildung/lern-und-entwicklungsplanung/grundverstaendnis/kriterien-zur-lern-und-entwicklungsplanung/index.html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F3" w:rsidRDefault="00873DF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F3" w:rsidRDefault="00873DF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F3" w:rsidRDefault="00873DF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91B"/>
    <w:multiLevelType w:val="hybridMultilevel"/>
    <w:tmpl w:val="7DF22A82"/>
    <w:lvl w:ilvl="0" w:tplc="10A87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207F"/>
    <w:multiLevelType w:val="hybridMultilevel"/>
    <w:tmpl w:val="FB5240A0"/>
    <w:lvl w:ilvl="0" w:tplc="6F825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611F6"/>
    <w:multiLevelType w:val="hybridMultilevel"/>
    <w:tmpl w:val="BAA601E2"/>
    <w:lvl w:ilvl="0" w:tplc="10A87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D35B2"/>
    <w:multiLevelType w:val="hybridMultilevel"/>
    <w:tmpl w:val="6F34C1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C083B"/>
    <w:multiLevelType w:val="hybridMultilevel"/>
    <w:tmpl w:val="95F2D8D4"/>
    <w:lvl w:ilvl="0" w:tplc="10A87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C0AE9"/>
    <w:multiLevelType w:val="multilevel"/>
    <w:tmpl w:val="53BC0AE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B6B6F"/>
    <w:multiLevelType w:val="hybridMultilevel"/>
    <w:tmpl w:val="B0F8B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F0BAE"/>
    <w:multiLevelType w:val="hybridMultilevel"/>
    <w:tmpl w:val="E2CAEF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B5F51"/>
    <w:multiLevelType w:val="hybridMultilevel"/>
    <w:tmpl w:val="6638D5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A47D8"/>
    <w:multiLevelType w:val="hybridMultilevel"/>
    <w:tmpl w:val="57C46A9E"/>
    <w:lvl w:ilvl="0" w:tplc="AAB6AD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7309"/>
    <w:rsid w:val="00054636"/>
    <w:rsid w:val="0007466C"/>
    <w:rsid w:val="00074DA9"/>
    <w:rsid w:val="000849A0"/>
    <w:rsid w:val="000954CA"/>
    <w:rsid w:val="00096DD1"/>
    <w:rsid w:val="000B1488"/>
    <w:rsid w:val="000B3924"/>
    <w:rsid w:val="000C75D4"/>
    <w:rsid w:val="000E3556"/>
    <w:rsid w:val="00114622"/>
    <w:rsid w:val="00121610"/>
    <w:rsid w:val="001223D5"/>
    <w:rsid w:val="001230EC"/>
    <w:rsid w:val="00124FA6"/>
    <w:rsid w:val="00125BFB"/>
    <w:rsid w:val="00141DA3"/>
    <w:rsid w:val="001464FC"/>
    <w:rsid w:val="0016514F"/>
    <w:rsid w:val="0017644E"/>
    <w:rsid w:val="00187605"/>
    <w:rsid w:val="00195C00"/>
    <w:rsid w:val="001A1357"/>
    <w:rsid w:val="00204AF2"/>
    <w:rsid w:val="00216FC1"/>
    <w:rsid w:val="00230E68"/>
    <w:rsid w:val="002456B8"/>
    <w:rsid w:val="00255CE3"/>
    <w:rsid w:val="002601F3"/>
    <w:rsid w:val="00277B53"/>
    <w:rsid w:val="00287839"/>
    <w:rsid w:val="002A7B35"/>
    <w:rsid w:val="002C56A5"/>
    <w:rsid w:val="00315866"/>
    <w:rsid w:val="00317D54"/>
    <w:rsid w:val="00324943"/>
    <w:rsid w:val="00324946"/>
    <w:rsid w:val="00346DAD"/>
    <w:rsid w:val="00362894"/>
    <w:rsid w:val="003837A2"/>
    <w:rsid w:val="00392D7D"/>
    <w:rsid w:val="0039588C"/>
    <w:rsid w:val="00397DB7"/>
    <w:rsid w:val="003A24E5"/>
    <w:rsid w:val="003D77DA"/>
    <w:rsid w:val="003E1A7D"/>
    <w:rsid w:val="00406B26"/>
    <w:rsid w:val="0044273B"/>
    <w:rsid w:val="0045236B"/>
    <w:rsid w:val="00471310"/>
    <w:rsid w:val="00477F03"/>
    <w:rsid w:val="004A4AE2"/>
    <w:rsid w:val="004C7CB6"/>
    <w:rsid w:val="004E01D0"/>
    <w:rsid w:val="004F0EC3"/>
    <w:rsid w:val="004F4502"/>
    <w:rsid w:val="004F64DC"/>
    <w:rsid w:val="005044E9"/>
    <w:rsid w:val="00547D99"/>
    <w:rsid w:val="00560F1D"/>
    <w:rsid w:val="00561384"/>
    <w:rsid w:val="00594530"/>
    <w:rsid w:val="0059463C"/>
    <w:rsid w:val="005A2FE3"/>
    <w:rsid w:val="005A402C"/>
    <w:rsid w:val="005A5DD7"/>
    <w:rsid w:val="005E52C7"/>
    <w:rsid w:val="005F0E50"/>
    <w:rsid w:val="005F21CF"/>
    <w:rsid w:val="005F61A7"/>
    <w:rsid w:val="00601485"/>
    <w:rsid w:val="00603397"/>
    <w:rsid w:val="0061733D"/>
    <w:rsid w:val="00622992"/>
    <w:rsid w:val="00632F54"/>
    <w:rsid w:val="006471D1"/>
    <w:rsid w:val="00651274"/>
    <w:rsid w:val="00661A85"/>
    <w:rsid w:val="00670194"/>
    <w:rsid w:val="00671FBC"/>
    <w:rsid w:val="00681243"/>
    <w:rsid w:val="00683538"/>
    <w:rsid w:val="006B4067"/>
    <w:rsid w:val="006B4A6F"/>
    <w:rsid w:val="006B6997"/>
    <w:rsid w:val="006E255D"/>
    <w:rsid w:val="00707A8A"/>
    <w:rsid w:val="0073692D"/>
    <w:rsid w:val="00744880"/>
    <w:rsid w:val="0075486A"/>
    <w:rsid w:val="00777D3B"/>
    <w:rsid w:val="007B24EB"/>
    <w:rsid w:val="007C4DF8"/>
    <w:rsid w:val="007D0613"/>
    <w:rsid w:val="007D073F"/>
    <w:rsid w:val="007D776C"/>
    <w:rsid w:val="007F7F2E"/>
    <w:rsid w:val="00817982"/>
    <w:rsid w:val="008215CC"/>
    <w:rsid w:val="008356E8"/>
    <w:rsid w:val="008577B8"/>
    <w:rsid w:val="0086769A"/>
    <w:rsid w:val="00873DF3"/>
    <w:rsid w:val="00885A18"/>
    <w:rsid w:val="00886889"/>
    <w:rsid w:val="00896E6C"/>
    <w:rsid w:val="008A22F1"/>
    <w:rsid w:val="008E3788"/>
    <w:rsid w:val="008F6B89"/>
    <w:rsid w:val="00902C40"/>
    <w:rsid w:val="0091275F"/>
    <w:rsid w:val="00914F61"/>
    <w:rsid w:val="00926D54"/>
    <w:rsid w:val="0094756B"/>
    <w:rsid w:val="00947D91"/>
    <w:rsid w:val="00967AAE"/>
    <w:rsid w:val="00994DF5"/>
    <w:rsid w:val="009958F3"/>
    <w:rsid w:val="009B1C6E"/>
    <w:rsid w:val="009F28B8"/>
    <w:rsid w:val="00A00279"/>
    <w:rsid w:val="00A003AF"/>
    <w:rsid w:val="00A00DC0"/>
    <w:rsid w:val="00A04609"/>
    <w:rsid w:val="00A16A77"/>
    <w:rsid w:val="00A31D01"/>
    <w:rsid w:val="00A408A2"/>
    <w:rsid w:val="00A6009B"/>
    <w:rsid w:val="00A60D4C"/>
    <w:rsid w:val="00A8591B"/>
    <w:rsid w:val="00AA47C7"/>
    <w:rsid w:val="00AC40FB"/>
    <w:rsid w:val="00AD2D63"/>
    <w:rsid w:val="00AF27F4"/>
    <w:rsid w:val="00AF2ECE"/>
    <w:rsid w:val="00B07F28"/>
    <w:rsid w:val="00B13F03"/>
    <w:rsid w:val="00B20035"/>
    <w:rsid w:val="00B515C8"/>
    <w:rsid w:val="00B521CC"/>
    <w:rsid w:val="00B54355"/>
    <w:rsid w:val="00B75E39"/>
    <w:rsid w:val="00BA5D6F"/>
    <w:rsid w:val="00BC1628"/>
    <w:rsid w:val="00C02185"/>
    <w:rsid w:val="00C05596"/>
    <w:rsid w:val="00C07DE3"/>
    <w:rsid w:val="00C128AE"/>
    <w:rsid w:val="00C2065C"/>
    <w:rsid w:val="00C20AB1"/>
    <w:rsid w:val="00C31899"/>
    <w:rsid w:val="00C56BD6"/>
    <w:rsid w:val="00C6404C"/>
    <w:rsid w:val="00C86F6F"/>
    <w:rsid w:val="00C870B7"/>
    <w:rsid w:val="00CA142D"/>
    <w:rsid w:val="00CA33A6"/>
    <w:rsid w:val="00CD2839"/>
    <w:rsid w:val="00CD3B67"/>
    <w:rsid w:val="00CE4948"/>
    <w:rsid w:val="00CF121C"/>
    <w:rsid w:val="00D17956"/>
    <w:rsid w:val="00D35DA1"/>
    <w:rsid w:val="00D41CF9"/>
    <w:rsid w:val="00D54CBD"/>
    <w:rsid w:val="00D551E0"/>
    <w:rsid w:val="00D66733"/>
    <w:rsid w:val="00D67671"/>
    <w:rsid w:val="00D842CD"/>
    <w:rsid w:val="00DC3D55"/>
    <w:rsid w:val="00DD4A84"/>
    <w:rsid w:val="00DE6CD4"/>
    <w:rsid w:val="00E013FB"/>
    <w:rsid w:val="00E02863"/>
    <w:rsid w:val="00E07309"/>
    <w:rsid w:val="00E31EC4"/>
    <w:rsid w:val="00E41F57"/>
    <w:rsid w:val="00E459C7"/>
    <w:rsid w:val="00E651A3"/>
    <w:rsid w:val="00E83901"/>
    <w:rsid w:val="00EB73CC"/>
    <w:rsid w:val="00EC47FC"/>
    <w:rsid w:val="00EC5805"/>
    <w:rsid w:val="00ED06CC"/>
    <w:rsid w:val="00ED363D"/>
    <w:rsid w:val="00ED7A5D"/>
    <w:rsid w:val="00F04BA2"/>
    <w:rsid w:val="00F23AF4"/>
    <w:rsid w:val="00F2603E"/>
    <w:rsid w:val="00F3401F"/>
    <w:rsid w:val="00F40EB8"/>
    <w:rsid w:val="00F6313D"/>
    <w:rsid w:val="00F67FFD"/>
    <w:rsid w:val="00F71672"/>
    <w:rsid w:val="00F825D8"/>
    <w:rsid w:val="00F85C99"/>
    <w:rsid w:val="00FB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3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6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901"/>
  </w:style>
  <w:style w:type="paragraph" w:styleId="Fuzeile">
    <w:name w:val="footer"/>
    <w:basedOn w:val="Standard"/>
    <w:link w:val="FuzeileZchn"/>
    <w:uiPriority w:val="99"/>
    <w:unhideWhenUsed/>
    <w:rsid w:val="00E8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9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98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39"/>
    <w:rsid w:val="0023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31D01"/>
    <w:rPr>
      <w:color w:val="0000FF"/>
      <w:u w:val="single"/>
    </w:rPr>
  </w:style>
  <w:style w:type="paragraph" w:styleId="Funotentext">
    <w:name w:val="footnote text"/>
    <w:basedOn w:val="Standard"/>
    <w:link w:val="FunotentextZchn"/>
    <w:unhideWhenUsed/>
    <w:qFormat/>
    <w:rsid w:val="002C56A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C56A5"/>
    <w:rPr>
      <w:sz w:val="20"/>
      <w:szCs w:val="20"/>
    </w:rPr>
  </w:style>
  <w:style w:type="character" w:styleId="Funotenzeichen">
    <w:name w:val="footnote reference"/>
    <w:basedOn w:val="Absatz-Standardschriftart"/>
    <w:unhideWhenUsed/>
    <w:qFormat/>
    <w:rsid w:val="002C56A5"/>
    <w:rPr>
      <w:vertAlign w:val="superscript"/>
    </w:rPr>
  </w:style>
  <w:style w:type="paragraph" w:customStyle="1" w:styleId="Aufklapper">
    <w:name w:val="Aufklapper"/>
    <w:basedOn w:val="Standard"/>
    <w:link w:val="AufklapperZchn"/>
    <w:qFormat/>
    <w:rsid w:val="0059463C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59463C"/>
    <w:rPr>
      <w:rFonts w:ascii="Arial" w:eastAsiaTheme="minorEastAsia" w:hAnsi="Arial" w:cs="Arial"/>
      <w:color w:val="4F6228" w:themeColor="accent3" w:themeShade="80"/>
    </w:rPr>
  </w:style>
  <w:style w:type="paragraph" w:customStyle="1" w:styleId="Listenabsatz1">
    <w:name w:val="Listenabsatz1"/>
    <w:basedOn w:val="Standard"/>
    <w:uiPriority w:val="34"/>
    <w:qFormat/>
    <w:rsid w:val="006B6997"/>
    <w:pPr>
      <w:spacing w:after="160" w:line="259" w:lineRule="auto"/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408A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5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6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901"/>
  </w:style>
  <w:style w:type="paragraph" w:styleId="Fuzeile">
    <w:name w:val="footer"/>
    <w:basedOn w:val="Standard"/>
    <w:link w:val="FuzeileZchn"/>
    <w:uiPriority w:val="99"/>
    <w:unhideWhenUsed/>
    <w:rsid w:val="00E8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9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9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3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31D01"/>
    <w:rPr>
      <w:color w:val="0000FF"/>
      <w:u w:val="single"/>
    </w:rPr>
  </w:style>
  <w:style w:type="paragraph" w:styleId="Funotentext">
    <w:name w:val="footnote text"/>
    <w:basedOn w:val="Standard"/>
    <w:link w:val="FunotentextZchn"/>
    <w:unhideWhenUsed/>
    <w:qFormat/>
    <w:rsid w:val="002C56A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C56A5"/>
    <w:rPr>
      <w:sz w:val="20"/>
      <w:szCs w:val="20"/>
    </w:rPr>
  </w:style>
  <w:style w:type="character" w:styleId="Funotenzeichen">
    <w:name w:val="footnote reference"/>
    <w:basedOn w:val="Absatz-Standardschriftart"/>
    <w:unhideWhenUsed/>
    <w:qFormat/>
    <w:rsid w:val="002C56A5"/>
    <w:rPr>
      <w:vertAlign w:val="superscript"/>
    </w:rPr>
  </w:style>
  <w:style w:type="paragraph" w:customStyle="1" w:styleId="Aufklapper">
    <w:name w:val="Aufklapper"/>
    <w:basedOn w:val="Standard"/>
    <w:link w:val="AufklapperZchn"/>
    <w:qFormat/>
    <w:rsid w:val="0059463C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</w:rPr>
  </w:style>
  <w:style w:type="character" w:customStyle="1" w:styleId="AufklapperZchn">
    <w:name w:val="Aufklapper Zchn"/>
    <w:basedOn w:val="Absatz-Standardschriftart"/>
    <w:link w:val="Aufklapper"/>
    <w:rsid w:val="0059463C"/>
    <w:rPr>
      <w:rFonts w:ascii="Arial" w:eastAsiaTheme="minorEastAsia" w:hAnsi="Arial" w:cs="Arial"/>
      <w:color w:val="4F6228" w:themeColor="accent3" w:themeShade="80"/>
    </w:rPr>
  </w:style>
  <w:style w:type="paragraph" w:customStyle="1" w:styleId="Listenabsatz1">
    <w:name w:val="Listenabsatz1"/>
    <w:basedOn w:val="Standard"/>
    <w:uiPriority w:val="34"/>
    <w:qFormat/>
    <w:rsid w:val="006B6997"/>
    <w:pPr>
      <w:spacing w:after="160" w:line="259" w:lineRule="auto"/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408A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5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ntwicklung.nrw.de/q/inklusive-schulische-bildung/lern-und-entwicklungsplanung/grundverstaendnis/kriterien-zur-lern-und-entwicklungsplanung/index.html" TargetMode="External"/><Relationship Id="rId1" Type="http://schemas.openxmlformats.org/officeDocument/2006/relationships/hyperlink" Target="https://www.schulentwicklung.nrw.de/cms/inklusiver-fachunterricht/entwicklungsbereiche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2467-2A02-4351-BF06-9F2A0208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2019-07-19T08:39:00Z</dcterms:created>
  <dcterms:modified xsi:type="dcterms:W3CDTF">2019-07-19T08:40:00Z</dcterms:modified>
</cp:coreProperties>
</file>