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9EB" w:rsidRPr="0005271C" w:rsidRDefault="00064DEA" w:rsidP="002B5377">
      <w:pPr>
        <w:jc w:val="both"/>
        <w:rPr>
          <w:rFonts w:eastAsia="Calibri" w:cs="Arial"/>
          <w:b/>
          <w:sz w:val="28"/>
          <w:szCs w:val="28"/>
        </w:rPr>
      </w:pPr>
      <w:r>
        <w:rPr>
          <w:rFonts w:eastAsia="Calibri" w:cs="Arial"/>
          <w:b/>
          <w:sz w:val="28"/>
          <w:szCs w:val="28"/>
        </w:rPr>
        <w:t>Kommentierte Literatur-, Projekt- und Praxis</w:t>
      </w:r>
      <w:r w:rsidR="006A39EB" w:rsidRPr="0005271C">
        <w:rPr>
          <w:rFonts w:eastAsia="Calibri" w:cs="Arial"/>
          <w:b/>
          <w:sz w:val="28"/>
          <w:szCs w:val="28"/>
        </w:rPr>
        <w:t xml:space="preserve">liste zum Thema Lerncoaching </w:t>
      </w:r>
    </w:p>
    <w:p w:rsidR="00FE78B4" w:rsidRDefault="00FE78B4" w:rsidP="002B5377">
      <w:pPr>
        <w:jc w:val="both"/>
      </w:pPr>
    </w:p>
    <w:p w:rsidR="00176A37" w:rsidRDefault="00176A37" w:rsidP="002B5377">
      <w:pPr>
        <w:jc w:val="both"/>
      </w:pPr>
    </w:p>
    <w:p w:rsidR="00FE78B4" w:rsidRDefault="00AA2CDF" w:rsidP="002B5377">
      <w:pPr>
        <w:pStyle w:val="Listenabsatz"/>
        <w:numPr>
          <w:ilvl w:val="0"/>
          <w:numId w:val="10"/>
        </w:numPr>
        <w:pBdr>
          <w:bottom w:val="single" w:sz="4" w:space="1" w:color="auto"/>
        </w:pBdr>
        <w:jc w:val="both"/>
        <w:rPr>
          <w:b/>
        </w:rPr>
      </w:pPr>
      <w:r w:rsidRPr="00AA2CDF">
        <w:rPr>
          <w:b/>
        </w:rPr>
        <w:t xml:space="preserve">Lerncoaching im Kontext von Beratung </w:t>
      </w:r>
    </w:p>
    <w:p w:rsidR="006A39EB" w:rsidRDefault="006A39EB" w:rsidP="002B5377">
      <w:pPr>
        <w:jc w:val="both"/>
        <w:rPr>
          <w:b/>
          <w:color w:val="FF0000"/>
        </w:rPr>
      </w:pPr>
    </w:p>
    <w:p w:rsidR="00A808A7" w:rsidRPr="00CA5F97" w:rsidRDefault="00A808A7" w:rsidP="002B5377">
      <w:pPr>
        <w:jc w:val="both"/>
        <w:rPr>
          <w:b/>
        </w:rPr>
      </w:pPr>
      <w:r w:rsidRPr="00CA5F97">
        <w:rPr>
          <w:b/>
        </w:rPr>
        <w:t xml:space="preserve">Deutsche Kinder- und Jugendstiftung. </w:t>
      </w:r>
      <w:r w:rsidRPr="00CA5F97">
        <w:rPr>
          <w:b/>
          <w:i/>
        </w:rPr>
        <w:t>Ideen für mehr! Ganztägig bilden</w:t>
      </w:r>
      <w:r w:rsidRPr="00CA5F97">
        <w:rPr>
          <w:b/>
        </w:rPr>
        <w:t xml:space="preserve"> (2019). </w:t>
      </w:r>
    </w:p>
    <w:p w:rsidR="00A808A7" w:rsidRPr="00090ECE" w:rsidRDefault="00A808A7" w:rsidP="002B5377">
      <w:pPr>
        <w:jc w:val="both"/>
        <w:rPr>
          <w:color w:val="FF0000"/>
        </w:rPr>
      </w:pPr>
      <w:r>
        <w:t xml:space="preserve">Aufgerufen am 24.04.2019. Verfügbar unter </w:t>
      </w:r>
      <w:hyperlink r:id="rId7" w:history="1">
        <w:r w:rsidRPr="00090ECE">
          <w:rPr>
            <w:rStyle w:val="Hyperlink"/>
          </w:rPr>
          <w:t>https://www.ganztaegig-lernen.de</w:t>
        </w:r>
      </w:hyperlink>
      <w:r>
        <w:rPr>
          <w:rStyle w:val="Hyperlink"/>
        </w:rPr>
        <w:t>.</w:t>
      </w:r>
      <w:r w:rsidRPr="00090ECE">
        <w:rPr>
          <w:color w:val="FF0000"/>
        </w:rPr>
        <w:t xml:space="preserve"> </w:t>
      </w:r>
    </w:p>
    <w:p w:rsidR="00A808A7" w:rsidRDefault="00A808A7" w:rsidP="002B5377">
      <w:pPr>
        <w:jc w:val="both"/>
        <w:rPr>
          <w:color w:val="000000" w:themeColor="text1"/>
        </w:rPr>
      </w:pPr>
      <w:r w:rsidRPr="00090ECE">
        <w:rPr>
          <w:color w:val="000000" w:themeColor="text1"/>
        </w:rPr>
        <w:t xml:space="preserve">Das Ganztagsschulportal </w:t>
      </w:r>
      <w:r>
        <w:rPr>
          <w:color w:val="000000" w:themeColor="text1"/>
        </w:rPr>
        <w:t xml:space="preserve">des Programms </w:t>
      </w:r>
      <w:r w:rsidRPr="002064CF">
        <w:rPr>
          <w:i/>
          <w:color w:val="000000" w:themeColor="text1"/>
        </w:rPr>
        <w:t>Ganztägig bilden</w:t>
      </w:r>
      <w:r>
        <w:rPr>
          <w:color w:val="000000" w:themeColor="text1"/>
        </w:rPr>
        <w:t xml:space="preserve"> bündelt bundesweit überzeugende Praxisbeispiele für die Qualitätsentwicklung an Ganztagsschulen. Unter dem Aspekt </w:t>
      </w:r>
      <w:r w:rsidRPr="002064CF">
        <w:rPr>
          <w:i/>
          <w:color w:val="000000" w:themeColor="text1"/>
        </w:rPr>
        <w:t>Lernkultur</w:t>
      </w:r>
      <w:r>
        <w:rPr>
          <w:color w:val="000000" w:themeColor="text1"/>
        </w:rPr>
        <w:t xml:space="preserve"> ist das Themenfeld </w:t>
      </w:r>
      <w:r w:rsidRPr="002064CF">
        <w:rPr>
          <w:i/>
          <w:color w:val="000000" w:themeColor="text1"/>
        </w:rPr>
        <w:t>Feedback</w:t>
      </w:r>
      <w:r>
        <w:rPr>
          <w:color w:val="000000" w:themeColor="text1"/>
        </w:rPr>
        <w:t xml:space="preserve"> mit Schulbeispielen, Informationstexten, Materialien oder methodischen Hinweisen zu finden. </w:t>
      </w:r>
    </w:p>
    <w:p w:rsidR="00234302" w:rsidRDefault="00234302" w:rsidP="002B5377">
      <w:pPr>
        <w:jc w:val="both"/>
        <w:rPr>
          <w:color w:val="000000" w:themeColor="text1"/>
        </w:rPr>
      </w:pPr>
    </w:p>
    <w:p w:rsidR="00A039C7" w:rsidRPr="00CA5F97" w:rsidRDefault="00A039C7" w:rsidP="002B5377">
      <w:pPr>
        <w:jc w:val="both"/>
        <w:rPr>
          <w:b/>
        </w:rPr>
      </w:pPr>
      <w:r w:rsidRPr="00CA5F97">
        <w:rPr>
          <w:b/>
        </w:rPr>
        <w:t xml:space="preserve">Eschelmüller, M. (2018). Gelingensbedingungen für Lerncoaching schaffen. </w:t>
      </w:r>
      <w:r w:rsidRPr="00CA5F97">
        <w:rPr>
          <w:b/>
          <w:i/>
          <w:iCs/>
        </w:rPr>
        <w:t>Journal für Schulentwicklung</w:t>
      </w:r>
      <w:r w:rsidRPr="00CA5F97">
        <w:rPr>
          <w:b/>
        </w:rPr>
        <w:t>, 2, S. 66-71.</w:t>
      </w:r>
    </w:p>
    <w:p w:rsidR="00A039C7" w:rsidRDefault="00A039C7" w:rsidP="002B5377">
      <w:pPr>
        <w:jc w:val="both"/>
      </w:pPr>
      <w:r w:rsidRPr="00A039C7">
        <w:t>Dem Beitrag</w:t>
      </w:r>
      <w:r>
        <w:t xml:space="preserve"> liegt ein umfassendes Lerncoaching-Konzept zugrunde und er beschreibt sechs Handlungsfelder, in denen Gelingensbedingungen für Lerncoaching geschaffen werden können.</w:t>
      </w:r>
    </w:p>
    <w:p w:rsidR="00A039C7" w:rsidRPr="00A039C7" w:rsidRDefault="00A039C7" w:rsidP="002B5377">
      <w:pPr>
        <w:jc w:val="both"/>
      </w:pPr>
    </w:p>
    <w:p w:rsidR="00234302" w:rsidRPr="00CA5F97" w:rsidRDefault="00234302" w:rsidP="002B5377">
      <w:pPr>
        <w:jc w:val="both"/>
        <w:rPr>
          <w:b/>
        </w:rPr>
      </w:pPr>
      <w:r w:rsidRPr="00CA5F97">
        <w:rPr>
          <w:b/>
        </w:rPr>
        <w:t xml:space="preserve">Hameyer, U. (2018). Lerncoaching unterwegs. Etablierungsprozesse in der Praxis. </w:t>
      </w:r>
      <w:r w:rsidRPr="00CA5F97">
        <w:rPr>
          <w:b/>
          <w:i/>
          <w:iCs/>
        </w:rPr>
        <w:t>Journal für Schulentwicklung</w:t>
      </w:r>
      <w:r w:rsidRPr="00CA5F97">
        <w:rPr>
          <w:b/>
        </w:rPr>
        <w:t xml:space="preserve">, </w:t>
      </w:r>
      <w:r w:rsidRPr="00CA5F97">
        <w:rPr>
          <w:b/>
          <w:i/>
        </w:rPr>
        <w:t>2</w:t>
      </w:r>
      <w:r w:rsidRPr="00CA5F97">
        <w:rPr>
          <w:b/>
        </w:rPr>
        <w:t>, S. 8-14.</w:t>
      </w:r>
    </w:p>
    <w:p w:rsidR="006A39EB" w:rsidRDefault="00234302" w:rsidP="002B5377">
      <w:pPr>
        <w:jc w:val="both"/>
      </w:pPr>
      <w:r>
        <w:t>Der Autor beschreibt in seinem Beitrag aktuelle Entwicklungen zum Lerncoaching in Deutschland, Österreich und der Schweiz und unterscheidet verschiedene Strategien zur Verankerung von Lerncoaching in der Praxis.</w:t>
      </w:r>
    </w:p>
    <w:p w:rsidR="00234302" w:rsidRDefault="00234302" w:rsidP="002B5377">
      <w:pPr>
        <w:jc w:val="both"/>
      </w:pPr>
    </w:p>
    <w:p w:rsidR="00E950B2" w:rsidRPr="00CA5F97" w:rsidRDefault="00EA1DF9" w:rsidP="002B5377">
      <w:pPr>
        <w:jc w:val="both"/>
        <w:rPr>
          <w:b/>
        </w:rPr>
      </w:pPr>
      <w:r w:rsidRPr="00CA5F97">
        <w:rPr>
          <w:b/>
        </w:rPr>
        <w:t>Knapp</w:t>
      </w:r>
      <w:r w:rsidR="006824FD" w:rsidRPr="00CA5F97">
        <w:rPr>
          <w:b/>
        </w:rPr>
        <w:t xml:space="preserve">, </w:t>
      </w:r>
      <w:r w:rsidR="00EF029F" w:rsidRPr="00CA5F97">
        <w:rPr>
          <w:b/>
        </w:rPr>
        <w:t>D.</w:t>
      </w:r>
      <w:r w:rsidR="006824FD" w:rsidRPr="00CA5F97">
        <w:rPr>
          <w:b/>
        </w:rPr>
        <w:t xml:space="preserve"> (2012)</w:t>
      </w:r>
      <w:r w:rsidR="00EF029F" w:rsidRPr="00CA5F97">
        <w:rPr>
          <w:b/>
        </w:rPr>
        <w:t>.</w:t>
      </w:r>
      <w:r w:rsidRPr="00CA5F97">
        <w:rPr>
          <w:b/>
        </w:rPr>
        <w:t xml:space="preserve"> Diagnose – Feedback – Lernbegleitung. Schülerinnen und Schüle</w:t>
      </w:r>
      <w:r w:rsidR="00EF029F" w:rsidRPr="00CA5F97">
        <w:rPr>
          <w:b/>
        </w:rPr>
        <w:t>r fördern und begleiten.</w:t>
      </w:r>
      <w:r w:rsidR="00E950B2" w:rsidRPr="00CA5F97">
        <w:rPr>
          <w:b/>
        </w:rPr>
        <w:t xml:space="preserve"> </w:t>
      </w:r>
      <w:r w:rsidR="00E950B2" w:rsidRPr="00CA5F97">
        <w:rPr>
          <w:b/>
          <w:i/>
        </w:rPr>
        <w:t xml:space="preserve">Lernende Schule, </w:t>
      </w:r>
      <w:r w:rsidR="006E0F0B" w:rsidRPr="00CA5F97">
        <w:rPr>
          <w:b/>
          <w:i/>
        </w:rPr>
        <w:t>57</w:t>
      </w:r>
      <w:r w:rsidR="006E0F0B" w:rsidRPr="00CA5F97">
        <w:rPr>
          <w:b/>
        </w:rPr>
        <w:t xml:space="preserve">, </w:t>
      </w:r>
      <w:r w:rsidR="007F0F49" w:rsidRPr="00CA5F97">
        <w:rPr>
          <w:b/>
        </w:rPr>
        <w:t xml:space="preserve">S. </w:t>
      </w:r>
      <w:r w:rsidRPr="00CA5F97">
        <w:rPr>
          <w:b/>
        </w:rPr>
        <w:t xml:space="preserve">14-18. </w:t>
      </w:r>
    </w:p>
    <w:p w:rsidR="00197BA8" w:rsidRPr="00D477E8" w:rsidRDefault="002B6BDD" w:rsidP="002B5377">
      <w:pPr>
        <w:jc w:val="both"/>
        <w:rPr>
          <w:color w:val="000000" w:themeColor="text1"/>
        </w:rPr>
      </w:pPr>
      <w:r>
        <w:rPr>
          <w:color w:val="000000" w:themeColor="text1"/>
        </w:rPr>
        <w:t>Der Beitrag beschreibt zentrale Begriffe einer individuellen Lernprozessbegleitung. Dabei werden Diagnose und Feedback als wesentliche Elemente der Lernbegleitung hervorgehoben und Möglichke</w:t>
      </w:r>
      <w:r w:rsidR="007A0CAE">
        <w:rPr>
          <w:color w:val="000000" w:themeColor="text1"/>
        </w:rPr>
        <w:t>iten der Förderung beschrieben.</w:t>
      </w:r>
    </w:p>
    <w:p w:rsidR="00EA1DF9" w:rsidRDefault="00EA1DF9" w:rsidP="002B5377">
      <w:pPr>
        <w:jc w:val="both"/>
      </w:pPr>
    </w:p>
    <w:p w:rsidR="006A39EB" w:rsidRPr="00CA5F97" w:rsidRDefault="002A34BA" w:rsidP="002B5377">
      <w:pPr>
        <w:jc w:val="both"/>
        <w:rPr>
          <w:b/>
        </w:rPr>
      </w:pPr>
      <w:r w:rsidRPr="00CA5F97">
        <w:rPr>
          <w:b/>
        </w:rPr>
        <w:t>Kunz</w:t>
      </w:r>
      <w:r w:rsidR="00F747AA" w:rsidRPr="00CA5F97">
        <w:rPr>
          <w:b/>
        </w:rPr>
        <w:t xml:space="preserve">, </w:t>
      </w:r>
      <w:r w:rsidR="00EF029F" w:rsidRPr="00CA5F97">
        <w:rPr>
          <w:b/>
        </w:rPr>
        <w:t>A., Rauch, N. &amp; Schneider, J.</w:t>
      </w:r>
      <w:r w:rsidR="00F747AA" w:rsidRPr="00CA5F97">
        <w:rPr>
          <w:b/>
        </w:rPr>
        <w:t xml:space="preserve"> (2013)</w:t>
      </w:r>
      <w:r w:rsidR="00EF029F" w:rsidRPr="00CA5F97">
        <w:rPr>
          <w:b/>
        </w:rPr>
        <w:t>.</w:t>
      </w:r>
      <w:r w:rsidRPr="00CA5F97">
        <w:rPr>
          <w:b/>
        </w:rPr>
        <w:t xml:space="preserve"> </w:t>
      </w:r>
      <w:r w:rsidRPr="00CA5F97">
        <w:rPr>
          <w:b/>
          <w:i/>
        </w:rPr>
        <w:t xml:space="preserve">Schülergespräche und Lernberatung – </w:t>
      </w:r>
      <w:r w:rsidR="00E674E4" w:rsidRPr="00CA5F97">
        <w:rPr>
          <w:b/>
          <w:i/>
        </w:rPr>
        <w:t>d</w:t>
      </w:r>
      <w:r w:rsidRPr="00CA5F97">
        <w:rPr>
          <w:b/>
          <w:i/>
        </w:rPr>
        <w:t>as Praxisbuch.</w:t>
      </w:r>
      <w:r w:rsidRPr="00CA5F97">
        <w:rPr>
          <w:b/>
        </w:rPr>
        <w:t xml:space="preserve"> Profi-Tipps und Materialien aus der Lehrerfortbildung. </w:t>
      </w:r>
      <w:r w:rsidR="00F747AA" w:rsidRPr="00CA5F97">
        <w:rPr>
          <w:b/>
        </w:rPr>
        <w:t>Donauwörth: Auer.</w:t>
      </w:r>
    </w:p>
    <w:p w:rsidR="00465A04" w:rsidRDefault="002B6BDD" w:rsidP="002B5377">
      <w:pPr>
        <w:jc w:val="both"/>
        <w:rPr>
          <w:color w:val="000000" w:themeColor="text1"/>
        </w:rPr>
      </w:pPr>
      <w:r>
        <w:rPr>
          <w:color w:val="000000" w:themeColor="text1"/>
        </w:rPr>
        <w:t>Die Autoren greifen im Kontext von Schülergesprächen und Lernberatung theoretische Erkenntnisse auf</w:t>
      </w:r>
      <w:r w:rsidR="0052177B">
        <w:rPr>
          <w:color w:val="000000" w:themeColor="text1"/>
        </w:rPr>
        <w:t xml:space="preserve"> und formulieren </w:t>
      </w:r>
      <w:r w:rsidR="00AC55F5">
        <w:rPr>
          <w:color w:val="000000" w:themeColor="text1"/>
        </w:rPr>
        <w:t>Anleitungen und konkrete Hilfestellungen zur Umsetzung in der Praxis.</w:t>
      </w:r>
    </w:p>
    <w:p w:rsidR="00C153C6" w:rsidRDefault="00C153C6" w:rsidP="002B5377">
      <w:pPr>
        <w:jc w:val="both"/>
        <w:rPr>
          <w:color w:val="000000" w:themeColor="text1"/>
        </w:rPr>
      </w:pPr>
    </w:p>
    <w:p w:rsidR="00EF029F" w:rsidRPr="00CA5F97" w:rsidRDefault="00EF029F" w:rsidP="002B5377">
      <w:pPr>
        <w:jc w:val="both"/>
        <w:rPr>
          <w:b/>
        </w:rPr>
      </w:pPr>
      <w:r w:rsidRPr="00CA5F97">
        <w:rPr>
          <w:b/>
        </w:rPr>
        <w:t xml:space="preserve">Ministerium für Schule und </w:t>
      </w:r>
      <w:r w:rsidR="00934089">
        <w:rPr>
          <w:b/>
        </w:rPr>
        <w:t>B</w:t>
      </w:r>
      <w:r w:rsidRPr="00CA5F97">
        <w:rPr>
          <w:b/>
        </w:rPr>
        <w:t>ildung des Landes Nordrhein-Westfalen (Hrsg</w:t>
      </w:r>
      <w:r w:rsidR="00A808A7" w:rsidRPr="00CA5F97">
        <w:rPr>
          <w:b/>
        </w:rPr>
        <w:t>.</w:t>
      </w:r>
      <w:r w:rsidR="00934089">
        <w:rPr>
          <w:b/>
        </w:rPr>
        <w:t>). (2020</w:t>
      </w:r>
      <w:r w:rsidRPr="00CA5F97">
        <w:rPr>
          <w:b/>
        </w:rPr>
        <w:t>).</w:t>
      </w:r>
      <w:r w:rsidRPr="00CA5F97">
        <w:rPr>
          <w:b/>
          <w:bCs/>
        </w:rPr>
        <w:t xml:space="preserve"> </w:t>
      </w:r>
      <w:r w:rsidRPr="00CA5F97">
        <w:rPr>
          <w:b/>
          <w:i/>
          <w:iCs/>
        </w:rPr>
        <w:t xml:space="preserve">Referenzrahmen Schulqualität NRW. </w:t>
      </w:r>
      <w:r w:rsidR="00934089">
        <w:rPr>
          <w:b/>
          <w:i/>
          <w:iCs/>
        </w:rPr>
        <w:t>Schule in NRW Nr. 9051</w:t>
      </w:r>
    </w:p>
    <w:p w:rsidR="002B5377" w:rsidRDefault="00EF029F" w:rsidP="002B5377">
      <w:pPr>
        <w:jc w:val="both"/>
      </w:pPr>
      <w:bookmarkStart w:id="0" w:name="_GoBack"/>
      <w:r>
        <w:t>Das Online-Unterstützungsportal zum Re</w:t>
      </w:r>
      <w:r w:rsidR="00FA5108">
        <w:t xml:space="preserve">ferenzrahmen Schulqualität NRW </w:t>
      </w:r>
      <w:r w:rsidR="009564A4">
        <w:t xml:space="preserve">bietet </w:t>
      </w:r>
      <w:bookmarkEnd w:id="0"/>
      <w:r w:rsidR="009564A4">
        <w:t xml:space="preserve">im Inhaltsbereich </w:t>
      </w:r>
      <w:r w:rsidR="009564A4" w:rsidRPr="009564A4">
        <w:rPr>
          <w:i/>
        </w:rPr>
        <w:t>Lehren und Lernen</w:t>
      </w:r>
      <w:r w:rsidR="009564A4">
        <w:t xml:space="preserve"> unter </w:t>
      </w:r>
      <w:r w:rsidR="009564A4" w:rsidRPr="009564A4">
        <w:rPr>
          <w:i/>
        </w:rPr>
        <w:t>Feedback und Beratung</w:t>
      </w:r>
      <w:r w:rsidR="009564A4">
        <w:t xml:space="preserve"> Arbeitsmaterialien, Hintergrundinformationen und Hinweise auf Schulen, die in diesem Bereich Erfahrungen gemacht haben. Aufgerufen</w:t>
      </w:r>
      <w:r w:rsidR="00934089">
        <w:t xml:space="preserve"> am 21.09.2020</w:t>
      </w:r>
      <w:r w:rsidR="002B5377">
        <w:t>. Verfügbar unter</w:t>
      </w:r>
    </w:p>
    <w:p w:rsidR="00C153C6" w:rsidRPr="00C153C6" w:rsidRDefault="000C0284" w:rsidP="002B5377">
      <w:pPr>
        <w:jc w:val="both"/>
        <w:rPr>
          <w:color w:val="FF0000"/>
        </w:rPr>
      </w:pPr>
      <w:hyperlink r:id="rId8" w:history="1">
        <w:r w:rsidR="00C153C6" w:rsidRPr="00C153C6">
          <w:rPr>
            <w:rStyle w:val="Hyperlink"/>
          </w:rPr>
          <w:t>https://www.schulentwicklung.nrw.de/unterstuetzungsportal/index.php</w:t>
        </w:r>
      </w:hyperlink>
      <w:r w:rsidR="00C94B82">
        <w:rPr>
          <w:rStyle w:val="Hyperlink"/>
        </w:rPr>
        <w:t>.</w:t>
      </w:r>
    </w:p>
    <w:p w:rsidR="00C153C6" w:rsidRDefault="00C153C6" w:rsidP="002B5377">
      <w:pPr>
        <w:jc w:val="both"/>
        <w:rPr>
          <w:color w:val="000000" w:themeColor="text1"/>
        </w:rPr>
      </w:pPr>
    </w:p>
    <w:p w:rsidR="006A3871" w:rsidRPr="00CA5F97" w:rsidRDefault="006A3871" w:rsidP="002B5377">
      <w:pPr>
        <w:jc w:val="both"/>
        <w:rPr>
          <w:b/>
        </w:rPr>
      </w:pPr>
      <w:r w:rsidRPr="00CA5F97">
        <w:rPr>
          <w:b/>
        </w:rPr>
        <w:t>Ministerium für Schule und Bildung des La</w:t>
      </w:r>
      <w:r w:rsidR="009564A4" w:rsidRPr="00CA5F97">
        <w:rPr>
          <w:b/>
        </w:rPr>
        <w:t>ndes Nordrhein-Westfalen (2019).</w:t>
      </w:r>
      <w:r w:rsidRPr="00CA5F97">
        <w:rPr>
          <w:b/>
        </w:rPr>
        <w:t xml:space="preserve"> </w:t>
      </w:r>
      <w:r w:rsidRPr="00CA5F97">
        <w:rPr>
          <w:b/>
          <w:i/>
        </w:rPr>
        <w:t>Zukunftsschulen NRW - Netzwerk Lernkultur Individuelle Förderung.</w:t>
      </w:r>
    </w:p>
    <w:p w:rsidR="006A3871" w:rsidRDefault="009564A4" w:rsidP="002B5377">
      <w:pPr>
        <w:jc w:val="both"/>
        <w:rPr>
          <w:color w:val="000000" w:themeColor="text1"/>
        </w:rPr>
      </w:pPr>
      <w:r>
        <w:t xml:space="preserve">Aufgerufen am 24.04.2019. Verfügbar unter </w:t>
      </w:r>
      <w:hyperlink r:id="rId9" w:history="1">
        <w:r w:rsidR="006A3871" w:rsidRPr="006A3871">
          <w:rPr>
            <w:rStyle w:val="Hyperlink"/>
          </w:rPr>
          <w:t>https://www.zukunftsschulen-nrw.de/das-netzwerk/zukunftsschulen/netzwerke/</w:t>
        </w:r>
      </w:hyperlink>
      <w:r w:rsidR="00C94B82">
        <w:rPr>
          <w:rStyle w:val="Hyperlink"/>
        </w:rPr>
        <w:t>.</w:t>
      </w:r>
    </w:p>
    <w:p w:rsidR="006A3871" w:rsidRPr="00E674E4" w:rsidRDefault="00F563CD" w:rsidP="002B5377">
      <w:pPr>
        <w:jc w:val="both"/>
        <w:rPr>
          <w:color w:val="000000" w:themeColor="text1"/>
        </w:rPr>
      </w:pPr>
      <w:r>
        <w:rPr>
          <w:color w:val="000000" w:themeColor="text1"/>
        </w:rPr>
        <w:t xml:space="preserve">Unter </w:t>
      </w:r>
      <w:r w:rsidRPr="00F563CD">
        <w:rPr>
          <w:i/>
          <w:color w:val="000000" w:themeColor="text1"/>
        </w:rPr>
        <w:t>Diagnostik und Beratung</w:t>
      </w:r>
      <w:r>
        <w:rPr>
          <w:color w:val="000000" w:themeColor="text1"/>
        </w:rPr>
        <w:t xml:space="preserve"> werden entsprechende thematische</w:t>
      </w:r>
      <w:r w:rsidR="006A3871">
        <w:rPr>
          <w:color w:val="000000" w:themeColor="text1"/>
        </w:rPr>
        <w:t xml:space="preserve"> Netzwerke </w:t>
      </w:r>
      <w:r>
        <w:rPr>
          <w:color w:val="000000" w:themeColor="text1"/>
        </w:rPr>
        <w:t xml:space="preserve">und die teilnehmenden Schulen </w:t>
      </w:r>
      <w:r w:rsidR="006A3871">
        <w:rPr>
          <w:color w:val="000000" w:themeColor="text1"/>
        </w:rPr>
        <w:t xml:space="preserve">angezeigt. </w:t>
      </w:r>
      <w:r>
        <w:rPr>
          <w:color w:val="000000" w:themeColor="text1"/>
        </w:rPr>
        <w:t>Es folgen Informationen zu den</w:t>
      </w:r>
      <w:r w:rsidR="006A3871">
        <w:rPr>
          <w:color w:val="000000" w:themeColor="text1"/>
        </w:rPr>
        <w:t xml:space="preserve"> thematische</w:t>
      </w:r>
      <w:r>
        <w:rPr>
          <w:color w:val="000000" w:themeColor="text1"/>
        </w:rPr>
        <w:t>n</w:t>
      </w:r>
      <w:r w:rsidR="006A3871">
        <w:rPr>
          <w:color w:val="000000" w:themeColor="text1"/>
        </w:rPr>
        <w:t xml:space="preserve"> Schwerpunkte</w:t>
      </w:r>
      <w:r>
        <w:rPr>
          <w:color w:val="000000" w:themeColor="text1"/>
        </w:rPr>
        <w:t>n der schulischen Konzepte</w:t>
      </w:r>
      <w:r w:rsidR="007B6B75">
        <w:rPr>
          <w:color w:val="000000" w:themeColor="text1"/>
        </w:rPr>
        <w:t>, den Entwicklungszielen und dem Materialangebot.</w:t>
      </w:r>
    </w:p>
    <w:p w:rsidR="007F0F49" w:rsidRDefault="007F0F49" w:rsidP="002B5377">
      <w:pPr>
        <w:jc w:val="both"/>
        <w:rPr>
          <w:b/>
          <w:color w:val="FF0000"/>
        </w:rPr>
      </w:pPr>
    </w:p>
    <w:p w:rsidR="00A808A7" w:rsidRPr="00CA5F97" w:rsidRDefault="00A808A7" w:rsidP="002B5377">
      <w:pPr>
        <w:jc w:val="both"/>
        <w:rPr>
          <w:b/>
        </w:rPr>
      </w:pPr>
      <w:r w:rsidRPr="00CA5F97">
        <w:rPr>
          <w:b/>
        </w:rPr>
        <w:t xml:space="preserve">Schnebel, S. (2017). </w:t>
      </w:r>
      <w:r w:rsidRPr="00CA5F97">
        <w:rPr>
          <w:b/>
          <w:i/>
        </w:rPr>
        <w:t>Professionell beraten.</w:t>
      </w:r>
      <w:r w:rsidRPr="00CA5F97">
        <w:rPr>
          <w:b/>
        </w:rPr>
        <w:t xml:space="preserve"> Beratungskompetenz in der Schule (3. aktualisierte und erweiterte Auflage). Weinheim: Beltz. </w:t>
      </w:r>
    </w:p>
    <w:p w:rsidR="00A808A7" w:rsidRDefault="00A808A7" w:rsidP="002B5377">
      <w:pPr>
        <w:jc w:val="both"/>
      </w:pPr>
      <w:r>
        <w:t xml:space="preserve">Zu dem Oberthema </w:t>
      </w:r>
      <w:r w:rsidRPr="00EA574F">
        <w:rPr>
          <w:i/>
        </w:rPr>
        <w:t>Feedback und Beratung</w:t>
      </w:r>
      <w:r w:rsidRPr="00924735">
        <w:rPr>
          <w:b/>
        </w:rPr>
        <w:t xml:space="preserve"> </w:t>
      </w:r>
      <w:r w:rsidRPr="006A39EB">
        <w:t>werden</w:t>
      </w:r>
      <w:r>
        <w:rPr>
          <w:b/>
        </w:rPr>
        <w:t xml:space="preserve"> </w:t>
      </w:r>
      <w:r w:rsidRPr="006A39EB">
        <w:t>zentrale</w:t>
      </w:r>
      <w:r>
        <w:rPr>
          <w:b/>
        </w:rPr>
        <w:t xml:space="preserve"> </w:t>
      </w:r>
      <w:r>
        <w:t xml:space="preserve">Handlungsfelder von Beratung in schulischen Kontexten aufgezeigt und ihre theoretischen Fundierungen erläutert. Die Neuauflage greift aktuelle Themen wie Lerncoaching, Peer-Coaching und Kollegiales Unterrichtscoaching auf. Auch die Beratung von und mit Eltern wird berücksichtigt. </w:t>
      </w:r>
    </w:p>
    <w:p w:rsidR="005B3B4B" w:rsidRDefault="005B3B4B" w:rsidP="002B5377">
      <w:pPr>
        <w:jc w:val="both"/>
        <w:rPr>
          <w:b/>
          <w:color w:val="FF0000"/>
        </w:rPr>
      </w:pPr>
    </w:p>
    <w:p w:rsidR="00090ECE" w:rsidRDefault="00090ECE" w:rsidP="002B5377">
      <w:pPr>
        <w:jc w:val="both"/>
        <w:rPr>
          <w:b/>
          <w:color w:val="FF0000"/>
        </w:rPr>
      </w:pPr>
    </w:p>
    <w:p w:rsidR="0005271C" w:rsidRDefault="0005271C" w:rsidP="002B5377">
      <w:pPr>
        <w:jc w:val="both"/>
        <w:rPr>
          <w:b/>
          <w:color w:val="FF0000"/>
        </w:rPr>
      </w:pPr>
    </w:p>
    <w:p w:rsidR="006A39EB" w:rsidRDefault="006A39EB" w:rsidP="002B5377">
      <w:pPr>
        <w:pStyle w:val="Listenabsatz"/>
        <w:numPr>
          <w:ilvl w:val="0"/>
          <w:numId w:val="10"/>
        </w:numPr>
        <w:pBdr>
          <w:bottom w:val="single" w:sz="4" w:space="1" w:color="auto"/>
        </w:pBdr>
        <w:jc w:val="both"/>
        <w:rPr>
          <w:b/>
        </w:rPr>
      </w:pPr>
      <w:r>
        <w:rPr>
          <w:b/>
        </w:rPr>
        <w:t xml:space="preserve">Definition von Lerncoaching </w:t>
      </w:r>
    </w:p>
    <w:p w:rsidR="00197BA8" w:rsidRDefault="00197BA8" w:rsidP="002B5377">
      <w:pPr>
        <w:jc w:val="both"/>
        <w:rPr>
          <w:b/>
        </w:rPr>
      </w:pPr>
    </w:p>
    <w:p w:rsidR="00A808A7" w:rsidRPr="00CA5F97" w:rsidRDefault="00A808A7" w:rsidP="002B5377">
      <w:pPr>
        <w:jc w:val="both"/>
        <w:rPr>
          <w:b/>
        </w:rPr>
      </w:pPr>
      <w:r w:rsidRPr="00CA5F97">
        <w:rPr>
          <w:b/>
        </w:rPr>
        <w:t xml:space="preserve">Eschelmüller, M. (2008). </w:t>
      </w:r>
      <w:r w:rsidRPr="00CA5F97">
        <w:rPr>
          <w:b/>
          <w:i/>
        </w:rPr>
        <w:t>Lerncoaching. Vom Wissensvermittler zum Lernbegleiter.</w:t>
      </w:r>
      <w:r w:rsidRPr="00CA5F97">
        <w:rPr>
          <w:b/>
        </w:rPr>
        <w:t xml:space="preserve"> Grundlagen und Praxishilfen. Mühlheim an der Ruhr: Verlag an der Ruhr.</w:t>
      </w:r>
    </w:p>
    <w:p w:rsidR="00A808A7" w:rsidRPr="00D732B9" w:rsidRDefault="00A808A7" w:rsidP="002B5377">
      <w:pPr>
        <w:jc w:val="both"/>
        <w:rPr>
          <w:color w:val="000000" w:themeColor="text1"/>
        </w:rPr>
      </w:pPr>
      <w:r>
        <w:rPr>
          <w:color w:val="000000" w:themeColor="text1"/>
        </w:rPr>
        <w:t xml:space="preserve">Die Publikation beschreibt zunächst theoretische Grundlagen für erfolgreiches Lernen. Es folgt die Vorstellung eines Lerncoaching-Konzepts sowie Möglichkeiten der Umsetzung von Lerncoaching im Rahmen eines Klassenunterrichts. Für die Praxis hält die Publikation Checklisten, Fragebögen und grafische Übersichten bereit. </w:t>
      </w:r>
    </w:p>
    <w:p w:rsidR="00A808A7" w:rsidRDefault="00A808A7" w:rsidP="002B5377">
      <w:pPr>
        <w:jc w:val="both"/>
        <w:rPr>
          <w:b/>
          <w:color w:val="FF0000"/>
        </w:rPr>
      </w:pPr>
    </w:p>
    <w:p w:rsidR="00575AA6" w:rsidRPr="00CA5F97" w:rsidRDefault="00C756A7" w:rsidP="002B5377">
      <w:pPr>
        <w:jc w:val="both"/>
        <w:rPr>
          <w:b/>
        </w:rPr>
      </w:pPr>
      <w:r w:rsidRPr="00CA5F97">
        <w:rPr>
          <w:b/>
        </w:rPr>
        <w:t>Hameyer, U. (2010</w:t>
      </w:r>
      <w:r w:rsidR="00575AA6" w:rsidRPr="00CA5F97">
        <w:rPr>
          <w:b/>
        </w:rPr>
        <w:t xml:space="preserve">). </w:t>
      </w:r>
      <w:r w:rsidR="00575AA6" w:rsidRPr="00CA5F97">
        <w:rPr>
          <w:b/>
          <w:iCs/>
        </w:rPr>
        <w:t>Lerncoaching</w:t>
      </w:r>
      <w:r w:rsidR="00575AA6" w:rsidRPr="00CA5F97">
        <w:rPr>
          <w:b/>
        </w:rPr>
        <w:t>.</w:t>
      </w:r>
      <w:r w:rsidR="00C94B82" w:rsidRPr="00CA5F97">
        <w:rPr>
          <w:b/>
        </w:rPr>
        <w:t xml:space="preserve">  </w:t>
      </w:r>
      <w:r w:rsidR="00575AA6" w:rsidRPr="00CA5F97">
        <w:rPr>
          <w:b/>
          <w:i/>
        </w:rPr>
        <w:t>Schule NRW / Amtsblatt des Ministeriums für Schule und Bildung Nordrhe</w:t>
      </w:r>
      <w:r w:rsidR="00C94B82" w:rsidRPr="00CA5F97">
        <w:rPr>
          <w:b/>
          <w:i/>
        </w:rPr>
        <w:t>in-Westfalen,</w:t>
      </w:r>
      <w:r w:rsidR="00575AA6" w:rsidRPr="00CA5F97">
        <w:rPr>
          <w:b/>
          <w:i/>
        </w:rPr>
        <w:t xml:space="preserve"> </w:t>
      </w:r>
      <w:r w:rsidR="00C94B82" w:rsidRPr="00CA5F97">
        <w:rPr>
          <w:b/>
          <w:i/>
        </w:rPr>
        <w:t>6</w:t>
      </w:r>
      <w:r w:rsidR="00575AA6" w:rsidRPr="00CA5F97">
        <w:rPr>
          <w:b/>
          <w:i/>
        </w:rPr>
        <w:t xml:space="preserve">, </w:t>
      </w:r>
      <w:r w:rsidR="00575AA6" w:rsidRPr="00CA5F97">
        <w:rPr>
          <w:b/>
        </w:rPr>
        <w:t>S. 279-281.</w:t>
      </w:r>
    </w:p>
    <w:p w:rsidR="00575AA6" w:rsidRPr="00C94B82" w:rsidRDefault="00C94B82" w:rsidP="002B5377">
      <w:pPr>
        <w:jc w:val="both"/>
      </w:pPr>
      <w:r w:rsidRPr="00C94B82">
        <w:t>In diesem Beitrag</w:t>
      </w:r>
      <w:r>
        <w:t xml:space="preserve"> wird Lerncoaching als Beratungsmodell beschrieben, welches am Institut für Pädagogik der Universität Kiel</w:t>
      </w:r>
      <w:r w:rsidR="007C5F36">
        <w:t xml:space="preserve"> als überregionales Weiterbildungsprogramm entwickelt wurde.</w:t>
      </w:r>
    </w:p>
    <w:p w:rsidR="00C94B82" w:rsidRDefault="00C94B82" w:rsidP="002B5377">
      <w:pPr>
        <w:jc w:val="both"/>
        <w:rPr>
          <w:b/>
          <w:color w:val="FF0000"/>
        </w:rPr>
      </w:pPr>
    </w:p>
    <w:p w:rsidR="0015013A" w:rsidRPr="00CA5F97" w:rsidRDefault="00575AA6" w:rsidP="002B5377">
      <w:pPr>
        <w:jc w:val="both"/>
        <w:rPr>
          <w:b/>
        </w:rPr>
      </w:pPr>
      <w:r w:rsidRPr="00CA5F97">
        <w:rPr>
          <w:b/>
        </w:rPr>
        <w:t xml:space="preserve">Hameyer, U. (2014). </w:t>
      </w:r>
      <w:r w:rsidRPr="00CA5F97">
        <w:rPr>
          <w:b/>
          <w:i/>
          <w:iCs/>
        </w:rPr>
        <w:t xml:space="preserve">Lerncoaching in der Schule. </w:t>
      </w:r>
      <w:r w:rsidRPr="00CA5F97">
        <w:rPr>
          <w:b/>
        </w:rPr>
        <w:t xml:space="preserve">Bezugspunkte nachhaltiger Umsetzungspraxis. </w:t>
      </w:r>
    </w:p>
    <w:p w:rsidR="00575AA6" w:rsidRPr="0015013A" w:rsidRDefault="00575AA6" w:rsidP="002B5377">
      <w:pPr>
        <w:jc w:val="both"/>
      </w:pPr>
      <w:r w:rsidRPr="0015013A">
        <w:t>Aufgerufen am 09.04.2019. Verfügbar unter</w:t>
      </w:r>
    </w:p>
    <w:p w:rsidR="00575AA6" w:rsidRPr="0015013A" w:rsidRDefault="000C0284" w:rsidP="002B5377">
      <w:pPr>
        <w:jc w:val="both"/>
      </w:pPr>
      <w:hyperlink r:id="rId10" w:history="1">
        <w:r w:rsidR="00575AA6" w:rsidRPr="0015013A">
          <w:rPr>
            <w:rStyle w:val="Hyperlink"/>
            <w:color w:val="auto"/>
          </w:rPr>
          <w:t>https://li.hamburg.de/contentblob/4294632/8789b49422c222086bf2d10e0cb9a311/data/download-pdf-lerncoachingtagung-vortragsskript-prof-hameyer.pdf;jsessionid=61CFADDAE73A82EAFC20828772CDF3A8.liveWorker2</w:t>
        </w:r>
      </w:hyperlink>
    </w:p>
    <w:p w:rsidR="00575AA6" w:rsidRDefault="00575AA6" w:rsidP="002B5377">
      <w:pPr>
        <w:jc w:val="both"/>
        <w:rPr>
          <w:b/>
          <w:color w:val="FF0000"/>
        </w:rPr>
      </w:pPr>
    </w:p>
    <w:p w:rsidR="002B5377" w:rsidRDefault="002B5377" w:rsidP="002B5377">
      <w:pPr>
        <w:jc w:val="both"/>
        <w:rPr>
          <w:b/>
        </w:rPr>
      </w:pPr>
    </w:p>
    <w:p w:rsidR="002B5377" w:rsidRDefault="002B5377" w:rsidP="002B5377">
      <w:pPr>
        <w:jc w:val="both"/>
        <w:rPr>
          <w:b/>
        </w:rPr>
      </w:pPr>
    </w:p>
    <w:p w:rsidR="00A808A7" w:rsidRPr="00CA5F97" w:rsidRDefault="00A808A7" w:rsidP="002B5377">
      <w:pPr>
        <w:jc w:val="both"/>
        <w:rPr>
          <w:b/>
        </w:rPr>
      </w:pPr>
      <w:r w:rsidRPr="00CA5F97">
        <w:rPr>
          <w:b/>
        </w:rPr>
        <w:lastRenderedPageBreak/>
        <w:t xml:space="preserve">Hameyer, U. &amp; Pallasch, W. (2009). Beratung als Lernhilfe. Lerncoaching im Aufwind. </w:t>
      </w:r>
      <w:r w:rsidRPr="00CA5F97">
        <w:rPr>
          <w:b/>
          <w:i/>
        </w:rPr>
        <w:t>Lernende Schule, 45</w:t>
      </w:r>
      <w:r w:rsidRPr="00CA5F97">
        <w:rPr>
          <w:b/>
        </w:rPr>
        <w:t xml:space="preserve">, </w:t>
      </w:r>
      <w:r w:rsidR="007F0F49" w:rsidRPr="00CA5F97">
        <w:rPr>
          <w:b/>
        </w:rPr>
        <w:t xml:space="preserve">S. </w:t>
      </w:r>
      <w:r w:rsidRPr="00CA5F97">
        <w:rPr>
          <w:b/>
        </w:rPr>
        <w:t>4-9.</w:t>
      </w:r>
    </w:p>
    <w:p w:rsidR="00A808A7" w:rsidRPr="005E24D3" w:rsidRDefault="00A808A7" w:rsidP="002B5377">
      <w:pPr>
        <w:jc w:val="both"/>
        <w:rPr>
          <w:color w:val="000000" w:themeColor="text1"/>
        </w:rPr>
      </w:pPr>
      <w:r>
        <w:rPr>
          <w:color w:val="000000" w:themeColor="text1"/>
        </w:rPr>
        <w:t>Der Beitrag beinhaltet einen Überblick über die Beratungsform Lerncoaching. Lerncoaching wird als Prozess beschrieben, der eine Passung von Lerner und Lerngegenstand zum Ziel hat. Lerncoaching wird von bestehenden Beratungsformen abgegrenzt, die mit dem Lerncoaching verbundene Zielsetzung sowie die Kompetenzen des Lerncoachs werden dargestellt und Anwendungsmöglichkeiten von Lerncoaching in der Schule aufgezeigt.</w:t>
      </w:r>
    </w:p>
    <w:p w:rsidR="00A808A7" w:rsidRDefault="00A808A7" w:rsidP="002B5377">
      <w:pPr>
        <w:jc w:val="both"/>
        <w:rPr>
          <w:b/>
          <w:color w:val="FF0000"/>
        </w:rPr>
      </w:pPr>
    </w:p>
    <w:p w:rsidR="00F51E31" w:rsidRPr="00CA5F97" w:rsidRDefault="00F51E31" w:rsidP="002B5377">
      <w:pPr>
        <w:jc w:val="both"/>
        <w:rPr>
          <w:b/>
        </w:rPr>
      </w:pPr>
      <w:r w:rsidRPr="00CA5F97">
        <w:rPr>
          <w:b/>
        </w:rPr>
        <w:t xml:space="preserve">Hardeland, H. </w:t>
      </w:r>
      <w:r w:rsidRPr="00CA5F97">
        <w:rPr>
          <w:b/>
          <w:sz w:val="22"/>
        </w:rPr>
        <w:t>(</w:t>
      </w:r>
      <w:r w:rsidRPr="00CA5F97">
        <w:rPr>
          <w:b/>
        </w:rPr>
        <w:t xml:space="preserve">2017a). </w:t>
      </w:r>
      <w:r w:rsidRPr="00CA5F97">
        <w:rPr>
          <w:b/>
          <w:i/>
        </w:rPr>
        <w:t xml:space="preserve">Lerncoaching und Lernberatung. </w:t>
      </w:r>
      <w:r w:rsidRPr="00CA5F97">
        <w:rPr>
          <w:rStyle w:val="Fett"/>
        </w:rPr>
        <w:t xml:space="preserve">Lernende in ihrem Lernprozess wirksam begleiten und unterstützen. Ein Buch zur (Weiter-)Entwicklung der theoretischen und praktischen (Lern-)Coachingkompetenz (6., vollständig überarbeitete und erweiterte Auflage). </w:t>
      </w:r>
      <w:r w:rsidRPr="00CA5F97">
        <w:rPr>
          <w:b/>
        </w:rPr>
        <w:t>Baltmannsweiler: Schneider Verlag Hohengehren.</w:t>
      </w:r>
    </w:p>
    <w:p w:rsidR="00F51E31" w:rsidRDefault="00F51E31" w:rsidP="002B5377">
      <w:pPr>
        <w:jc w:val="both"/>
      </w:pPr>
      <w:r>
        <w:t>In diesem Praxisbuch wird Lerncoaching als problemlösender Prozess mit dem Fokus der Optimierung von Lernprozessen mit personenzentrierten und systemischen Methoden definiert und durch Vorschläge für Trainingsmaßnahmen</w:t>
      </w:r>
      <w:r w:rsidRPr="00275486">
        <w:t xml:space="preserve"> </w:t>
      </w:r>
      <w:r>
        <w:t>ergänzt.</w:t>
      </w:r>
    </w:p>
    <w:p w:rsidR="00F51E31" w:rsidRDefault="00F51E31" w:rsidP="002B5377">
      <w:pPr>
        <w:jc w:val="both"/>
        <w:rPr>
          <w:b/>
          <w:color w:val="FF0000"/>
        </w:rPr>
      </w:pPr>
    </w:p>
    <w:p w:rsidR="00D16859" w:rsidRPr="00CA5F97" w:rsidRDefault="00D16859" w:rsidP="002B5377">
      <w:pPr>
        <w:jc w:val="both"/>
        <w:rPr>
          <w:b/>
        </w:rPr>
      </w:pPr>
      <w:r w:rsidRPr="00CA5F97">
        <w:rPr>
          <w:b/>
        </w:rPr>
        <w:t>Keller</w:t>
      </w:r>
      <w:r w:rsidR="00F747AA" w:rsidRPr="00CA5F97">
        <w:rPr>
          <w:b/>
        </w:rPr>
        <w:t>, G</w:t>
      </w:r>
      <w:r w:rsidR="00EA574F" w:rsidRPr="00CA5F97">
        <w:rPr>
          <w:b/>
        </w:rPr>
        <w:t>.</w:t>
      </w:r>
      <w:r w:rsidR="00F747AA" w:rsidRPr="00CA5F97">
        <w:rPr>
          <w:b/>
        </w:rPr>
        <w:t xml:space="preserve"> (2015)</w:t>
      </w:r>
      <w:r w:rsidR="00EA574F" w:rsidRPr="00CA5F97">
        <w:rPr>
          <w:b/>
        </w:rPr>
        <w:t>.</w:t>
      </w:r>
      <w:r w:rsidRPr="00CA5F97">
        <w:rPr>
          <w:b/>
        </w:rPr>
        <w:t xml:space="preserve"> </w:t>
      </w:r>
      <w:r w:rsidRPr="00CA5F97">
        <w:rPr>
          <w:b/>
          <w:i/>
        </w:rPr>
        <w:t>Lerncoaching in der Schule.</w:t>
      </w:r>
      <w:r w:rsidRPr="00CA5F97">
        <w:rPr>
          <w:b/>
        </w:rPr>
        <w:t xml:space="preserve"> Praxishilfe</w:t>
      </w:r>
      <w:r w:rsidR="00566B94" w:rsidRPr="00CA5F97">
        <w:rPr>
          <w:b/>
        </w:rPr>
        <w:t>n</w:t>
      </w:r>
      <w:r w:rsidRPr="00CA5F97">
        <w:rPr>
          <w:b/>
        </w:rPr>
        <w:t xml:space="preserve"> für Lehrkräfte. Göttingen</w:t>
      </w:r>
      <w:r w:rsidR="00566B94" w:rsidRPr="00CA5F97">
        <w:rPr>
          <w:b/>
        </w:rPr>
        <w:t>: Hogrefe</w:t>
      </w:r>
      <w:r w:rsidR="007A0CAE" w:rsidRPr="00CA5F97">
        <w:rPr>
          <w:b/>
        </w:rPr>
        <w:t>.</w:t>
      </w:r>
    </w:p>
    <w:p w:rsidR="00D16859" w:rsidRPr="00D16859" w:rsidRDefault="00D16859" w:rsidP="002B5377">
      <w:pPr>
        <w:jc w:val="both"/>
        <w:rPr>
          <w:color w:val="000000" w:themeColor="text1"/>
        </w:rPr>
      </w:pPr>
      <w:r>
        <w:rPr>
          <w:color w:val="000000" w:themeColor="text1"/>
        </w:rPr>
        <w:t xml:space="preserve">In Form eines Ratgebers wird die Funktionsweise von Lerncoaching beschrieben. Darüber hinaus werden Anregungen </w:t>
      </w:r>
      <w:r w:rsidR="00566B94">
        <w:rPr>
          <w:color w:val="000000" w:themeColor="text1"/>
        </w:rPr>
        <w:t>zur Förderung von</w:t>
      </w:r>
      <w:r>
        <w:rPr>
          <w:color w:val="000000" w:themeColor="text1"/>
        </w:rPr>
        <w:t xml:space="preserve"> Schülerinnen und Schüler</w:t>
      </w:r>
      <w:r w:rsidR="00566B94">
        <w:rPr>
          <w:color w:val="000000" w:themeColor="text1"/>
        </w:rPr>
        <w:t>n</w:t>
      </w:r>
      <w:r>
        <w:rPr>
          <w:color w:val="000000" w:themeColor="text1"/>
        </w:rPr>
        <w:t xml:space="preserve"> </w:t>
      </w:r>
      <w:r w:rsidR="00566B94">
        <w:rPr>
          <w:color w:val="000000" w:themeColor="text1"/>
        </w:rPr>
        <w:t>gegeben</w:t>
      </w:r>
      <w:r>
        <w:rPr>
          <w:color w:val="000000" w:themeColor="text1"/>
        </w:rPr>
        <w:t>.</w:t>
      </w:r>
      <w:r w:rsidR="00B957D6">
        <w:rPr>
          <w:color w:val="000000" w:themeColor="text1"/>
        </w:rPr>
        <w:t xml:space="preserve"> </w:t>
      </w:r>
      <w:r w:rsidR="00566B94">
        <w:rPr>
          <w:color w:val="000000" w:themeColor="text1"/>
        </w:rPr>
        <w:t>Die Praxishilfe beinhaltet vielfältige</w:t>
      </w:r>
      <w:r w:rsidR="00B957D6">
        <w:rPr>
          <w:color w:val="000000" w:themeColor="text1"/>
        </w:rPr>
        <w:t xml:space="preserve"> Materialien</w:t>
      </w:r>
      <w:r w:rsidR="00566B94">
        <w:rPr>
          <w:color w:val="000000" w:themeColor="text1"/>
        </w:rPr>
        <w:t xml:space="preserve"> für eine konkrete Umsetzung des Lerncoachings</w:t>
      </w:r>
      <w:r w:rsidR="007A0CAE">
        <w:rPr>
          <w:color w:val="000000" w:themeColor="text1"/>
        </w:rPr>
        <w:t>.</w:t>
      </w:r>
    </w:p>
    <w:p w:rsidR="0005271C" w:rsidRPr="005E24D3" w:rsidRDefault="0005271C" w:rsidP="002B5377">
      <w:pPr>
        <w:jc w:val="both"/>
        <w:rPr>
          <w:b/>
          <w:color w:val="FF0000"/>
        </w:rPr>
      </w:pPr>
    </w:p>
    <w:p w:rsidR="00465A04" w:rsidRPr="00CA5F97" w:rsidRDefault="00465A04" w:rsidP="002B5377">
      <w:pPr>
        <w:jc w:val="both"/>
        <w:rPr>
          <w:b/>
        </w:rPr>
      </w:pPr>
      <w:r w:rsidRPr="00CA5F97">
        <w:rPr>
          <w:b/>
          <w:lang w:val="en-US"/>
        </w:rPr>
        <w:t>Pallasch</w:t>
      </w:r>
      <w:r w:rsidR="00BD0780" w:rsidRPr="00CA5F97">
        <w:rPr>
          <w:b/>
          <w:lang w:val="en-US"/>
        </w:rPr>
        <w:t>, W</w:t>
      </w:r>
      <w:r w:rsidR="0086166D" w:rsidRPr="00CA5F97">
        <w:rPr>
          <w:b/>
          <w:lang w:val="en-US"/>
        </w:rPr>
        <w:t>. &amp; Hameyer, U.</w:t>
      </w:r>
      <w:r w:rsidR="00F747AA" w:rsidRPr="00CA5F97">
        <w:rPr>
          <w:b/>
          <w:lang w:val="en-US"/>
        </w:rPr>
        <w:t xml:space="preserve"> (2008)</w:t>
      </w:r>
      <w:r w:rsidR="0086166D" w:rsidRPr="00CA5F97">
        <w:rPr>
          <w:b/>
          <w:lang w:val="en-US"/>
        </w:rPr>
        <w:t xml:space="preserve">. </w:t>
      </w:r>
      <w:r w:rsidR="00264BE5" w:rsidRPr="00CA5F97">
        <w:rPr>
          <w:b/>
          <w:i/>
          <w:lang w:val="en-US"/>
        </w:rPr>
        <w:t>Lerncoaching</w:t>
      </w:r>
      <w:r w:rsidR="00264BE5" w:rsidRPr="00CA5F97">
        <w:rPr>
          <w:b/>
          <w:lang w:val="en-US"/>
        </w:rPr>
        <w:t xml:space="preserve">. </w:t>
      </w:r>
      <w:r w:rsidR="00264BE5" w:rsidRPr="00CA5F97">
        <w:rPr>
          <w:b/>
        </w:rPr>
        <w:t>Theoretische Grundlagen und Praxisbeispiele zu einer didaktischen Herausforderung. Weinheim</w:t>
      </w:r>
      <w:r w:rsidR="00A973B2" w:rsidRPr="00CA5F97">
        <w:rPr>
          <w:b/>
        </w:rPr>
        <w:t>: Juventa</w:t>
      </w:r>
      <w:r w:rsidR="007A0CAE" w:rsidRPr="00CA5F97">
        <w:rPr>
          <w:b/>
        </w:rPr>
        <w:t>.</w:t>
      </w:r>
    </w:p>
    <w:p w:rsidR="00F86C38" w:rsidRDefault="00A973B2" w:rsidP="002B5377">
      <w:pPr>
        <w:jc w:val="both"/>
        <w:rPr>
          <w:color w:val="000000" w:themeColor="text1"/>
        </w:rPr>
      </w:pPr>
      <w:r>
        <w:rPr>
          <w:color w:val="000000" w:themeColor="text1"/>
        </w:rPr>
        <w:t xml:space="preserve">Die Autoren ziehen </w:t>
      </w:r>
      <w:r w:rsidR="00F86C38">
        <w:rPr>
          <w:color w:val="000000" w:themeColor="text1"/>
        </w:rPr>
        <w:t>theoretische Grundlegung</w:t>
      </w:r>
      <w:r>
        <w:rPr>
          <w:color w:val="000000" w:themeColor="text1"/>
        </w:rPr>
        <w:t>en</w:t>
      </w:r>
      <w:r w:rsidR="00F86C38">
        <w:rPr>
          <w:color w:val="000000" w:themeColor="text1"/>
        </w:rPr>
        <w:t xml:space="preserve"> für </w:t>
      </w:r>
      <w:r>
        <w:rPr>
          <w:color w:val="000000" w:themeColor="text1"/>
        </w:rPr>
        <w:t xml:space="preserve">die Praxis des </w:t>
      </w:r>
      <w:r w:rsidR="00F86C38">
        <w:rPr>
          <w:color w:val="000000" w:themeColor="text1"/>
        </w:rPr>
        <w:t>Lerncoaching</w:t>
      </w:r>
      <w:r>
        <w:rPr>
          <w:color w:val="000000" w:themeColor="text1"/>
        </w:rPr>
        <w:t xml:space="preserve">s heran und </w:t>
      </w:r>
      <w:r w:rsidR="004F53B7">
        <w:rPr>
          <w:color w:val="000000" w:themeColor="text1"/>
        </w:rPr>
        <w:t>beziehen sich auf das Kieler Modell.</w:t>
      </w:r>
      <w:r w:rsidR="00F86C38">
        <w:rPr>
          <w:color w:val="000000" w:themeColor="text1"/>
        </w:rPr>
        <w:t xml:space="preserve"> </w:t>
      </w:r>
      <w:r w:rsidR="004F53B7">
        <w:rPr>
          <w:color w:val="000000" w:themeColor="text1"/>
        </w:rPr>
        <w:t xml:space="preserve"> Zudem wird </w:t>
      </w:r>
      <w:r w:rsidR="004517F8">
        <w:rPr>
          <w:color w:val="000000" w:themeColor="text1"/>
        </w:rPr>
        <w:t xml:space="preserve">eine berufsbegleitende Weiterbildung </w:t>
      </w:r>
      <w:r w:rsidR="0086166D">
        <w:rPr>
          <w:color w:val="000000" w:themeColor="text1"/>
        </w:rPr>
        <w:t>zu</w:t>
      </w:r>
      <w:r w:rsidR="004517F8">
        <w:rPr>
          <w:color w:val="000000" w:themeColor="text1"/>
        </w:rPr>
        <w:t xml:space="preserve"> Lerncoaching </w:t>
      </w:r>
      <w:r w:rsidR="004F53B7">
        <w:rPr>
          <w:color w:val="000000" w:themeColor="text1"/>
        </w:rPr>
        <w:t>beschrieben</w:t>
      </w:r>
      <w:r w:rsidR="007A0CAE">
        <w:rPr>
          <w:color w:val="000000" w:themeColor="text1"/>
        </w:rPr>
        <w:t>.</w:t>
      </w:r>
    </w:p>
    <w:p w:rsidR="00465A04" w:rsidRDefault="00465A04" w:rsidP="002B5377">
      <w:pPr>
        <w:jc w:val="both"/>
        <w:rPr>
          <w:color w:val="000000" w:themeColor="text1"/>
        </w:rPr>
      </w:pPr>
    </w:p>
    <w:p w:rsidR="00575AA6" w:rsidRPr="00CA5F97" w:rsidRDefault="00575AA6" w:rsidP="002B5377">
      <w:pPr>
        <w:jc w:val="both"/>
        <w:rPr>
          <w:b/>
        </w:rPr>
      </w:pPr>
      <w:r w:rsidRPr="00CA5F97">
        <w:rPr>
          <w:b/>
        </w:rPr>
        <w:t xml:space="preserve">Rauen, C. (2014). </w:t>
      </w:r>
      <w:r w:rsidRPr="00CA5F97">
        <w:rPr>
          <w:b/>
          <w:i/>
          <w:iCs/>
        </w:rPr>
        <w:t>Coaching</w:t>
      </w:r>
      <w:r w:rsidRPr="00CA5F97">
        <w:rPr>
          <w:b/>
        </w:rPr>
        <w:t xml:space="preserve"> (3. überarbeitete und erweiterte Auflage). Göttingen: Hogrefe.</w:t>
      </w:r>
    </w:p>
    <w:p w:rsidR="00575AA6" w:rsidRDefault="0015013A" w:rsidP="002B5377">
      <w:pPr>
        <w:jc w:val="both"/>
        <w:rPr>
          <w:color w:val="000000" w:themeColor="text1"/>
        </w:rPr>
      </w:pPr>
      <w:r>
        <w:rPr>
          <w:color w:val="000000" w:themeColor="text1"/>
        </w:rPr>
        <w:t>In dieser Publikation steht Coaching als Personalentwicklungsinstrument im Vordergrund. Neben Definitionen von Coaching werden verschiedene Coaching-Modelle vorgestellt, Maßnahmen und Vorgehensweisen empfohlen sowie Fallbeispiele aus der Unternehmenspraxis geschildert.</w:t>
      </w:r>
    </w:p>
    <w:p w:rsidR="0015013A" w:rsidRDefault="0015013A" w:rsidP="002B5377">
      <w:pPr>
        <w:jc w:val="both"/>
        <w:rPr>
          <w:color w:val="000000" w:themeColor="text1"/>
        </w:rPr>
      </w:pPr>
    </w:p>
    <w:p w:rsidR="00B038CD" w:rsidRPr="00CA5F97" w:rsidRDefault="00B038CD" w:rsidP="002B5377">
      <w:pPr>
        <w:jc w:val="both"/>
        <w:rPr>
          <w:rFonts w:eastAsia="Times New Roman" w:cstheme="minorHAnsi"/>
          <w:b/>
          <w:lang w:eastAsia="de-DE"/>
        </w:rPr>
      </w:pPr>
      <w:r w:rsidRPr="00CA5F97">
        <w:rPr>
          <w:rFonts w:eastAsia="Times New Roman" w:cstheme="minorHAnsi"/>
          <w:b/>
          <w:lang w:eastAsia="de-DE"/>
        </w:rPr>
        <w:t>Reichert</w:t>
      </w:r>
      <w:r w:rsidR="00BD0780" w:rsidRPr="00CA5F97">
        <w:rPr>
          <w:rFonts w:eastAsia="Times New Roman" w:cstheme="minorHAnsi"/>
          <w:b/>
          <w:lang w:eastAsia="de-DE"/>
        </w:rPr>
        <w:t>, S</w:t>
      </w:r>
      <w:r w:rsidR="0086166D" w:rsidRPr="00CA5F97">
        <w:rPr>
          <w:rFonts w:eastAsia="Times New Roman" w:cstheme="minorHAnsi"/>
          <w:b/>
          <w:lang w:eastAsia="de-DE"/>
        </w:rPr>
        <w:t>.</w:t>
      </w:r>
      <w:r w:rsidR="00F96D36" w:rsidRPr="00CA5F97">
        <w:rPr>
          <w:rFonts w:eastAsia="Times New Roman" w:cstheme="minorHAnsi"/>
          <w:b/>
          <w:lang w:eastAsia="de-DE"/>
        </w:rPr>
        <w:t xml:space="preserve"> (2018)</w:t>
      </w:r>
      <w:r w:rsidR="0086166D" w:rsidRPr="00CA5F97">
        <w:rPr>
          <w:rFonts w:eastAsia="Times New Roman" w:cstheme="minorHAnsi"/>
          <w:b/>
          <w:lang w:eastAsia="de-DE"/>
        </w:rPr>
        <w:t>.</w:t>
      </w:r>
      <w:r w:rsidRPr="00CA5F97">
        <w:rPr>
          <w:rFonts w:eastAsia="Times New Roman" w:cstheme="minorHAnsi"/>
          <w:b/>
          <w:lang w:eastAsia="de-DE"/>
        </w:rPr>
        <w:t xml:space="preserve"> </w:t>
      </w:r>
      <w:hyperlink r:id="rId11" w:history="1">
        <w:r w:rsidRPr="00CA5F97">
          <w:rPr>
            <w:rStyle w:val="Hyperlink"/>
            <w:rFonts w:eastAsia="Times New Roman" w:cstheme="minorHAnsi"/>
            <w:b/>
            <w:color w:val="auto"/>
            <w:lang w:eastAsia="de-DE"/>
          </w:rPr>
          <w:t>Ein Förderkonzept Lerncoaching in Kopplung mit einer Fachberatung. Die fachliche Leerstelle von Lerncoaching und Lernbegleitung füllen.</w:t>
        </w:r>
      </w:hyperlink>
      <w:r w:rsidRPr="00CA5F97">
        <w:rPr>
          <w:rFonts w:eastAsia="Times New Roman" w:cstheme="minorHAnsi"/>
          <w:b/>
          <w:lang w:eastAsia="de-DE"/>
        </w:rPr>
        <w:t xml:space="preserve"> </w:t>
      </w:r>
      <w:r w:rsidRPr="00CA5F97">
        <w:rPr>
          <w:rFonts w:eastAsia="Times New Roman" w:cstheme="minorHAnsi"/>
          <w:b/>
          <w:i/>
          <w:lang w:eastAsia="de-DE"/>
        </w:rPr>
        <w:t>Fordern und Fördern in der Sekundars</w:t>
      </w:r>
      <w:r w:rsidR="00F96D36" w:rsidRPr="00CA5F97">
        <w:rPr>
          <w:rFonts w:eastAsia="Times New Roman" w:cstheme="minorHAnsi"/>
          <w:b/>
          <w:i/>
          <w:lang w:eastAsia="de-DE"/>
        </w:rPr>
        <w:t>tufe I</w:t>
      </w:r>
      <w:r w:rsidR="00F96D36" w:rsidRPr="00CA5F97">
        <w:rPr>
          <w:rFonts w:eastAsia="Times New Roman" w:cstheme="minorHAnsi"/>
          <w:b/>
          <w:lang w:eastAsia="de-DE"/>
        </w:rPr>
        <w:t>, Loseblatt, 46. Ausgabe</w:t>
      </w:r>
      <w:r w:rsidRPr="00CA5F97">
        <w:rPr>
          <w:rFonts w:eastAsia="Times New Roman" w:cstheme="minorHAnsi"/>
          <w:b/>
          <w:lang w:eastAsia="de-DE"/>
        </w:rPr>
        <w:t>, A 2.16, S</w:t>
      </w:r>
      <w:r w:rsidR="00D94C7F" w:rsidRPr="00CA5F97">
        <w:rPr>
          <w:rFonts w:eastAsia="Times New Roman" w:cstheme="minorHAnsi"/>
          <w:b/>
          <w:lang w:eastAsia="de-DE"/>
        </w:rPr>
        <w:t>.</w:t>
      </w:r>
      <w:r w:rsidR="00234302" w:rsidRPr="00CA5F97">
        <w:rPr>
          <w:rFonts w:eastAsia="Times New Roman" w:cstheme="minorHAnsi"/>
          <w:b/>
          <w:lang w:eastAsia="de-DE"/>
        </w:rPr>
        <w:t xml:space="preserve"> 1-</w:t>
      </w:r>
      <w:r w:rsidRPr="00CA5F97">
        <w:rPr>
          <w:rFonts w:eastAsia="Times New Roman" w:cstheme="minorHAnsi"/>
          <w:b/>
          <w:lang w:eastAsia="de-DE"/>
        </w:rPr>
        <w:t>10, Stuttgart: Raabe</w:t>
      </w:r>
      <w:r w:rsidR="007A0CAE" w:rsidRPr="00CA5F97">
        <w:rPr>
          <w:rFonts w:eastAsia="Times New Roman" w:cstheme="minorHAnsi"/>
          <w:b/>
          <w:lang w:eastAsia="de-DE"/>
        </w:rPr>
        <w:t>.</w:t>
      </w:r>
    </w:p>
    <w:p w:rsidR="00A808A7" w:rsidRDefault="00F96D36" w:rsidP="002B5377">
      <w:pPr>
        <w:jc w:val="both"/>
        <w:rPr>
          <w:rFonts w:eastAsia="Times New Roman" w:cstheme="minorHAnsi"/>
          <w:lang w:eastAsia="de-DE"/>
        </w:rPr>
      </w:pPr>
      <w:r w:rsidRPr="00F96D36">
        <w:rPr>
          <w:rFonts w:eastAsia="Times New Roman" w:cstheme="minorHAnsi"/>
          <w:lang w:eastAsia="de-DE"/>
        </w:rPr>
        <w:t>Der Beitrag beschreibt, wie das Gymnasium Rodenkirchen seine Fachberatung inhaltlich und methodisch gestaltet</w:t>
      </w:r>
      <w:r>
        <w:rPr>
          <w:rFonts w:eastAsia="Times New Roman" w:cstheme="minorHAnsi"/>
          <w:lang w:eastAsia="de-DE"/>
        </w:rPr>
        <w:t xml:space="preserve"> und eine Verknüpfung mit den Coaching- und Lernbegleitungskonzepten gelingen kann.</w:t>
      </w:r>
    </w:p>
    <w:p w:rsidR="007F0F49" w:rsidRDefault="007F0F49" w:rsidP="002B5377">
      <w:pPr>
        <w:jc w:val="both"/>
        <w:rPr>
          <w:b/>
          <w:color w:val="FF0000"/>
        </w:rPr>
      </w:pPr>
    </w:p>
    <w:p w:rsidR="002B5377" w:rsidRDefault="002B5377" w:rsidP="002B5377">
      <w:pPr>
        <w:jc w:val="both"/>
        <w:rPr>
          <w:b/>
        </w:rPr>
      </w:pPr>
    </w:p>
    <w:p w:rsidR="002B5377" w:rsidRDefault="002B5377" w:rsidP="002B5377">
      <w:pPr>
        <w:jc w:val="both"/>
        <w:rPr>
          <w:b/>
        </w:rPr>
      </w:pPr>
    </w:p>
    <w:p w:rsidR="0015013A" w:rsidRPr="00CA5F97" w:rsidRDefault="00A808A7" w:rsidP="002B5377">
      <w:pPr>
        <w:jc w:val="both"/>
        <w:rPr>
          <w:b/>
        </w:rPr>
      </w:pPr>
      <w:r w:rsidRPr="00CA5F97">
        <w:rPr>
          <w:b/>
        </w:rPr>
        <w:lastRenderedPageBreak/>
        <w:t xml:space="preserve">Serviceagentur "Ganztägig Lernen." Hessen (Hrsg.). (2009). </w:t>
      </w:r>
      <w:r w:rsidRPr="00CA5F97">
        <w:rPr>
          <w:b/>
          <w:i/>
          <w:iCs/>
        </w:rPr>
        <w:t xml:space="preserve">Der Lehrer als Lernbegleiter und Coach. </w:t>
      </w:r>
      <w:r w:rsidRPr="00CA5F97">
        <w:rPr>
          <w:b/>
        </w:rPr>
        <w:t xml:space="preserve">Chancen im Ganztag. Frankfurt am Main. </w:t>
      </w:r>
    </w:p>
    <w:p w:rsidR="00A808A7" w:rsidRPr="0015013A" w:rsidRDefault="00A808A7" w:rsidP="002B5377">
      <w:pPr>
        <w:jc w:val="both"/>
        <w:rPr>
          <w:rFonts w:eastAsia="Times New Roman" w:cstheme="minorHAnsi"/>
          <w:lang w:eastAsia="de-DE"/>
        </w:rPr>
      </w:pPr>
      <w:r w:rsidRPr="0015013A">
        <w:t>Aufgerufen am 09.04.2019. Verfügbar unter</w:t>
      </w:r>
      <w:r w:rsidR="0015013A">
        <w:rPr>
          <w:rFonts w:eastAsia="Times New Roman" w:cstheme="minorHAnsi"/>
          <w:lang w:eastAsia="de-DE"/>
        </w:rPr>
        <w:t xml:space="preserve"> </w:t>
      </w:r>
      <w:hyperlink r:id="rId12" w:history="1">
        <w:r w:rsidRPr="0015013A">
          <w:rPr>
            <w:rStyle w:val="Hyperlink"/>
            <w:color w:val="auto"/>
          </w:rPr>
          <w:t>http://www.hessen.ganztaegig-lernen.de/sites/default/files/2009_SAG_Broschuere_Coaching_Doppelseiten.pdf</w:t>
        </w:r>
      </w:hyperlink>
      <w:r w:rsidRPr="0015013A">
        <w:t xml:space="preserve"> </w:t>
      </w:r>
    </w:p>
    <w:p w:rsidR="00A808A7" w:rsidRPr="0015013A" w:rsidRDefault="00A808A7" w:rsidP="002B5377">
      <w:pPr>
        <w:jc w:val="both"/>
      </w:pPr>
      <w:r w:rsidRPr="0015013A">
        <w:t xml:space="preserve">Im ersten Teil findet sich eine komprimierte Einführung in die Grundlagen des Lerncoachings. Am Ende der einzelnen Unterkapitel werden weiterführende Literaturangaben gemacht. Der zweite Teil beinhaltet zwei </w:t>
      </w:r>
      <w:r w:rsidR="003250EA">
        <w:t>Beispiele</w:t>
      </w:r>
      <w:r w:rsidRPr="0015013A">
        <w:t xml:space="preserve"> zum Coaching in der Schule.</w:t>
      </w:r>
    </w:p>
    <w:p w:rsidR="0005271C" w:rsidRPr="006A39EB" w:rsidRDefault="0005271C" w:rsidP="002B5377">
      <w:pPr>
        <w:jc w:val="both"/>
        <w:rPr>
          <w:b/>
          <w:color w:val="FF0000"/>
        </w:rPr>
      </w:pPr>
    </w:p>
    <w:p w:rsidR="00197BA8" w:rsidRPr="00AA2CDF" w:rsidRDefault="00197BA8" w:rsidP="002B5377">
      <w:pPr>
        <w:pStyle w:val="Listenabsatz"/>
        <w:numPr>
          <w:ilvl w:val="0"/>
          <w:numId w:val="10"/>
        </w:numPr>
        <w:jc w:val="both"/>
        <w:rPr>
          <w:b/>
        </w:rPr>
      </w:pPr>
      <w:r>
        <w:rPr>
          <w:b/>
        </w:rPr>
        <w:t xml:space="preserve">Der Lerncoaching-Prozess </w:t>
      </w:r>
    </w:p>
    <w:p w:rsidR="006A39EB" w:rsidRDefault="006A39EB" w:rsidP="002B5377">
      <w:pPr>
        <w:pBdr>
          <w:top w:val="single" w:sz="4" w:space="1" w:color="auto"/>
        </w:pBdr>
        <w:jc w:val="both"/>
        <w:rPr>
          <w:b/>
          <w:color w:val="FF0000"/>
          <w:lang w:val="en-US"/>
        </w:rPr>
      </w:pPr>
    </w:p>
    <w:p w:rsidR="00FA5108" w:rsidRDefault="00A808A7" w:rsidP="002B5377">
      <w:pPr>
        <w:jc w:val="both"/>
        <w:rPr>
          <w:rFonts w:ascii="Calibri" w:hAnsi="Calibri"/>
        </w:rPr>
      </w:pPr>
      <w:r w:rsidRPr="00CA5F97">
        <w:rPr>
          <w:b/>
        </w:rPr>
        <w:t xml:space="preserve">Augustin, J., Mattern, C., Nagler, D. &amp; Teepe, N. (2018). Qualifizierungsmaßnahmen für Schulen mit Lerncoaching. In K. Althoff &amp; N. Andernach (Hrsg.), </w:t>
      </w:r>
      <w:r w:rsidRPr="00FA5108">
        <w:rPr>
          <w:b/>
          <w:i/>
          <w:iCs/>
        </w:rPr>
        <w:t>Partizipative Schulentwicklung mit dem Leitziel individueller Förderung.</w:t>
      </w:r>
      <w:r w:rsidRPr="00CA5F97">
        <w:rPr>
          <w:b/>
          <w:i/>
          <w:iCs/>
        </w:rPr>
        <w:t xml:space="preserve"> </w:t>
      </w:r>
      <w:r w:rsidR="00234302" w:rsidRPr="00CA5F97">
        <w:rPr>
          <w:b/>
        </w:rPr>
        <w:t>Lernpotenziale Heft 4 (S. 48-</w:t>
      </w:r>
      <w:r w:rsidRPr="00CA5F97">
        <w:rPr>
          <w:b/>
        </w:rPr>
        <w:t>52). Münster: Serviceagentur „Ganztägig lernen" NRW, Institut für soziale Arbeit e.V.</w:t>
      </w:r>
      <w:r w:rsidR="00FA5108">
        <w:rPr>
          <w:b/>
        </w:rPr>
        <w:t xml:space="preserve"> </w:t>
      </w:r>
      <w:r w:rsidR="00FA5108">
        <w:rPr>
          <w:rFonts w:ascii="Calibri" w:hAnsi="Calibri"/>
        </w:rPr>
        <w:t xml:space="preserve">Aufgerufen am 27.07.2020. Verfügbar unter </w:t>
      </w:r>
    </w:p>
    <w:p w:rsidR="00A808A7" w:rsidRDefault="000C0284" w:rsidP="002B5377">
      <w:pPr>
        <w:jc w:val="both"/>
        <w:rPr>
          <w:rStyle w:val="Hyperlink"/>
          <w:rFonts w:ascii="Calibri" w:hAnsi="Calibri"/>
        </w:rPr>
      </w:pPr>
      <w:hyperlink r:id="rId13" w:history="1">
        <w:r w:rsidR="00FA5108" w:rsidRPr="00AF56EA">
          <w:rPr>
            <w:rStyle w:val="Hyperlink"/>
            <w:rFonts w:ascii="Calibri" w:hAnsi="Calibri"/>
          </w:rPr>
          <w:t>https://www.stiftung-mercator.de/media/downloads/3_Publikationen/2018/Juli/Lernpotenziale_2018_Heft_4.pdf</w:t>
        </w:r>
      </w:hyperlink>
    </w:p>
    <w:p w:rsidR="00FA5108" w:rsidRPr="00CA5F97" w:rsidRDefault="00FA5108" w:rsidP="002B5377">
      <w:pPr>
        <w:jc w:val="both"/>
        <w:rPr>
          <w:b/>
        </w:rPr>
      </w:pPr>
    </w:p>
    <w:p w:rsidR="00A808A7" w:rsidRPr="001E7E70" w:rsidRDefault="00A808A7" w:rsidP="002B5377">
      <w:pPr>
        <w:jc w:val="both"/>
        <w:rPr>
          <w:color w:val="000000" w:themeColor="text1"/>
        </w:rPr>
      </w:pPr>
      <w:r w:rsidRPr="00F24A9D">
        <w:rPr>
          <w:color w:val="000000" w:themeColor="text1"/>
        </w:rPr>
        <w:t xml:space="preserve">Der Beitrag </w:t>
      </w:r>
      <w:r>
        <w:rPr>
          <w:color w:val="000000" w:themeColor="text1"/>
        </w:rPr>
        <w:t>berichtet unter anderem von Erfahrungen mit der Durchführung einer Multiplikatoren-Schulung zum Lerncoaching als eine Möglichkeit, die Implementierung von Lerncoaching auf eine breitere Basis zu stellen.</w:t>
      </w:r>
    </w:p>
    <w:p w:rsidR="00197BA8" w:rsidRDefault="00197BA8" w:rsidP="002B5377">
      <w:pPr>
        <w:jc w:val="both"/>
      </w:pPr>
    </w:p>
    <w:p w:rsidR="003A0576" w:rsidRPr="00CA5F97" w:rsidRDefault="002B0B82" w:rsidP="002B5377">
      <w:pPr>
        <w:jc w:val="both"/>
        <w:rPr>
          <w:b/>
        </w:rPr>
      </w:pPr>
      <w:r w:rsidRPr="00CA5F97">
        <w:rPr>
          <w:b/>
        </w:rPr>
        <w:t xml:space="preserve">Gemeinnützige Deutsche Kinder- und Jugendstiftung GmbH (Hrsg.). (2019). </w:t>
      </w:r>
      <w:r w:rsidRPr="00CA5F97">
        <w:rPr>
          <w:b/>
          <w:i/>
        </w:rPr>
        <w:t>Lerncoaching</w:t>
      </w:r>
      <w:r w:rsidRPr="00CA5F97">
        <w:rPr>
          <w:b/>
        </w:rPr>
        <w:t xml:space="preserve">. Leit-IDEEN. Impulse für Schulaufsicht und Schulleitung. Berlin. </w:t>
      </w:r>
    </w:p>
    <w:p w:rsidR="002B5377" w:rsidRDefault="002B0B82" w:rsidP="002B5377">
      <w:pPr>
        <w:jc w:val="both"/>
      </w:pPr>
      <w:r w:rsidRPr="002B0B82">
        <w:t xml:space="preserve">Aufgerufen am 14.10.2019. Verfügbar unter </w:t>
      </w:r>
    </w:p>
    <w:p w:rsidR="002B0B82" w:rsidRDefault="000C0284" w:rsidP="002B5377">
      <w:pPr>
        <w:jc w:val="both"/>
      </w:pPr>
      <w:hyperlink r:id="rId14" w:history="1">
        <w:r w:rsidR="002B0B82" w:rsidRPr="00D6478A">
          <w:rPr>
            <w:rStyle w:val="Hyperlink"/>
          </w:rPr>
          <w:t>https://www.lernen-im-ganztag.de/fileadmin/user_upload/Themen/WEB_Lerncoaching_Leit-IDEE_LiGa.pdf</w:t>
        </w:r>
      </w:hyperlink>
    </w:p>
    <w:p w:rsidR="003A0576" w:rsidRDefault="003A0576" w:rsidP="002B5377">
      <w:pPr>
        <w:jc w:val="both"/>
      </w:pPr>
      <w:r>
        <w:t>Die Ausgabe ist als Einstieg in das Thema Lerncoaching gedacht und beinhaltet Grundlagen, Praxisbeispiele sowie Informationen für Schulleitung und Schulaufsicht.</w:t>
      </w:r>
    </w:p>
    <w:p w:rsidR="002B0B82" w:rsidRPr="002B0B82" w:rsidRDefault="002B0B82" w:rsidP="002B5377">
      <w:pPr>
        <w:jc w:val="both"/>
      </w:pPr>
    </w:p>
    <w:p w:rsidR="002B0B82" w:rsidRDefault="002B0B82" w:rsidP="002B5377">
      <w:pPr>
        <w:jc w:val="both"/>
      </w:pPr>
    </w:p>
    <w:p w:rsidR="004442E0" w:rsidRPr="00CA5F97" w:rsidRDefault="00F96D36" w:rsidP="002B5377">
      <w:pPr>
        <w:jc w:val="both"/>
        <w:rPr>
          <w:b/>
        </w:rPr>
      </w:pPr>
      <w:r w:rsidRPr="00CA5F97">
        <w:rPr>
          <w:b/>
        </w:rPr>
        <w:t>Hardeland, H</w:t>
      </w:r>
      <w:r w:rsidR="0086166D" w:rsidRPr="00CA5F97">
        <w:rPr>
          <w:b/>
        </w:rPr>
        <w:t>.</w:t>
      </w:r>
      <w:r w:rsidRPr="00CA5F97">
        <w:rPr>
          <w:b/>
        </w:rPr>
        <w:t xml:space="preserve"> </w:t>
      </w:r>
      <w:r w:rsidRPr="00CA5F97">
        <w:rPr>
          <w:b/>
          <w:sz w:val="22"/>
        </w:rPr>
        <w:t>(</w:t>
      </w:r>
      <w:r w:rsidRPr="00CA5F97">
        <w:rPr>
          <w:b/>
        </w:rPr>
        <w:t>2017</w:t>
      </w:r>
      <w:r w:rsidR="00F51E31" w:rsidRPr="00CA5F97">
        <w:rPr>
          <w:b/>
        </w:rPr>
        <w:t>b</w:t>
      </w:r>
      <w:r w:rsidRPr="00CA5F97">
        <w:rPr>
          <w:b/>
        </w:rPr>
        <w:t>)</w:t>
      </w:r>
      <w:r w:rsidR="0086166D" w:rsidRPr="00CA5F97">
        <w:rPr>
          <w:b/>
        </w:rPr>
        <w:t>.</w:t>
      </w:r>
      <w:r w:rsidRPr="00CA5F97">
        <w:rPr>
          <w:b/>
        </w:rPr>
        <w:t xml:space="preserve"> </w:t>
      </w:r>
      <w:r w:rsidR="004442E0" w:rsidRPr="00CA5F97">
        <w:rPr>
          <w:b/>
          <w:i/>
        </w:rPr>
        <w:t>Der Klassen-Coach.</w:t>
      </w:r>
      <w:r w:rsidR="004442E0" w:rsidRPr="00CA5F97">
        <w:rPr>
          <w:b/>
        </w:rPr>
        <w:t xml:space="preserve"> Lehrst du noch oder coachst du schon? Ein Praxisbuch für die Umsetzung von (Lern-)Coaching in Klassen und Gruppen – für Sekundarstufe I und II. Baltmannsweiler</w:t>
      </w:r>
      <w:r w:rsidR="00275486" w:rsidRPr="00CA5F97">
        <w:rPr>
          <w:b/>
        </w:rPr>
        <w:t>: Schneider Verlag Hohengehren</w:t>
      </w:r>
      <w:r w:rsidR="007A0CAE" w:rsidRPr="00CA5F97">
        <w:rPr>
          <w:b/>
        </w:rPr>
        <w:t>.</w:t>
      </w:r>
    </w:p>
    <w:p w:rsidR="004442E0" w:rsidRPr="004442E0" w:rsidRDefault="0083111A" w:rsidP="002B5377">
      <w:pPr>
        <w:jc w:val="both"/>
        <w:rPr>
          <w:color w:val="000000" w:themeColor="text1"/>
        </w:rPr>
      </w:pPr>
      <w:r>
        <w:rPr>
          <w:color w:val="000000" w:themeColor="text1"/>
        </w:rPr>
        <w:t>Die Autorin beschreibt 25 Methoden für das Klassen-Coaching und geht auf Chancen und Stolperstei</w:t>
      </w:r>
      <w:r w:rsidR="007A0CAE">
        <w:rPr>
          <w:color w:val="000000" w:themeColor="text1"/>
        </w:rPr>
        <w:t>ne der einzelnen Methoden ein.</w:t>
      </w:r>
    </w:p>
    <w:p w:rsidR="007740BF" w:rsidRDefault="007740BF" w:rsidP="002B5377">
      <w:pPr>
        <w:jc w:val="both"/>
        <w:rPr>
          <w:b/>
          <w:color w:val="FF0000"/>
        </w:rPr>
      </w:pPr>
    </w:p>
    <w:p w:rsidR="007740BF" w:rsidRPr="00CA5F97" w:rsidRDefault="007740BF" w:rsidP="002B5377">
      <w:pPr>
        <w:jc w:val="both"/>
        <w:rPr>
          <w:b/>
        </w:rPr>
      </w:pPr>
      <w:r w:rsidRPr="00CA5F97">
        <w:rPr>
          <w:b/>
        </w:rPr>
        <w:t>Lehmann</w:t>
      </w:r>
      <w:r w:rsidR="00F96D36" w:rsidRPr="00CA5F97">
        <w:rPr>
          <w:b/>
        </w:rPr>
        <w:t>, K</w:t>
      </w:r>
      <w:r w:rsidR="00D94C7F" w:rsidRPr="00CA5F97">
        <w:rPr>
          <w:b/>
        </w:rPr>
        <w:t>.</w:t>
      </w:r>
      <w:r w:rsidR="00F96D36" w:rsidRPr="00CA5F97">
        <w:rPr>
          <w:b/>
        </w:rPr>
        <w:t xml:space="preserve"> (2015)</w:t>
      </w:r>
      <w:r w:rsidR="00D94C7F" w:rsidRPr="00CA5F97">
        <w:rPr>
          <w:b/>
        </w:rPr>
        <w:t>.</w:t>
      </w:r>
      <w:r w:rsidRPr="00CA5F97">
        <w:rPr>
          <w:b/>
        </w:rPr>
        <w:t xml:space="preserve"> </w:t>
      </w:r>
      <w:r w:rsidRPr="00CA5F97">
        <w:rPr>
          <w:b/>
          <w:i/>
        </w:rPr>
        <w:t>Lehrer coachen Schüler.</w:t>
      </w:r>
      <w:r w:rsidRPr="00CA5F97">
        <w:rPr>
          <w:b/>
        </w:rPr>
        <w:t xml:space="preserve"> Methoden und Arbeitsblätter zu Selbstreflexion, Persönlichkeitsentwicklung und positivem Denken. Mühlheim an der Ruhr</w:t>
      </w:r>
      <w:r w:rsidR="00765B7F" w:rsidRPr="00CA5F97">
        <w:rPr>
          <w:b/>
        </w:rPr>
        <w:t>: Verlag an der Ruhr</w:t>
      </w:r>
      <w:r w:rsidR="007A0CAE" w:rsidRPr="00CA5F97">
        <w:rPr>
          <w:b/>
        </w:rPr>
        <w:t>.</w:t>
      </w:r>
    </w:p>
    <w:p w:rsidR="009E54AD" w:rsidRPr="005D1CFD" w:rsidRDefault="005D1CFD" w:rsidP="002B5377">
      <w:pPr>
        <w:jc w:val="both"/>
        <w:rPr>
          <w:color w:val="FF0000"/>
        </w:rPr>
      </w:pPr>
      <w:r w:rsidRPr="005D1CFD">
        <w:t>Dieser Ratgeber enthält ein breites Repertoire an bewährten Coaching-Methoden</w:t>
      </w:r>
      <w:r>
        <w:t xml:space="preserve"> mit Beschreibungen und Beispielen zum Einsatz im Unterricht sowie Kopiervorlagen.</w:t>
      </w:r>
    </w:p>
    <w:p w:rsidR="006A38BE" w:rsidRDefault="006A38BE" w:rsidP="002B5377">
      <w:pPr>
        <w:jc w:val="both"/>
        <w:rPr>
          <w:b/>
          <w:color w:val="FF0000"/>
        </w:rPr>
      </w:pPr>
    </w:p>
    <w:p w:rsidR="002B5377" w:rsidRDefault="002B5377" w:rsidP="002B5377">
      <w:pPr>
        <w:jc w:val="both"/>
        <w:rPr>
          <w:b/>
        </w:rPr>
      </w:pPr>
    </w:p>
    <w:p w:rsidR="00FA5108" w:rsidRDefault="00A808A7" w:rsidP="002B5377">
      <w:pPr>
        <w:jc w:val="both"/>
        <w:rPr>
          <w:rFonts w:ascii="Calibri" w:hAnsi="Calibri"/>
        </w:rPr>
      </w:pPr>
      <w:r w:rsidRPr="00CA5F97">
        <w:rPr>
          <w:b/>
        </w:rPr>
        <w:t xml:space="preserve">Leithe, A. &amp; Wegmann, C. (2018). Qualifizierung von Lerncoaches am Gymnasium St. Christophorus und der Heinrich-von-Kleist-Schule. In K. Althoff &amp; N. Andernach (Hrsg.), </w:t>
      </w:r>
      <w:hyperlink r:id="rId15" w:history="1">
        <w:r w:rsidRPr="00CA5F97">
          <w:rPr>
            <w:rStyle w:val="Hyperlink"/>
            <w:b/>
            <w:i/>
            <w:iCs/>
            <w:color w:val="auto"/>
          </w:rPr>
          <w:t>Partizipative Schulentwicklung mit dem Leitziel individueller Förderung.</w:t>
        </w:r>
      </w:hyperlink>
      <w:r w:rsidRPr="00CA5F97">
        <w:rPr>
          <w:b/>
          <w:i/>
          <w:iCs/>
        </w:rPr>
        <w:t xml:space="preserve"> </w:t>
      </w:r>
      <w:r w:rsidRPr="00CA5F97">
        <w:rPr>
          <w:b/>
        </w:rPr>
        <w:t>Lernpotenziale Heft 4 (S. 45</w:t>
      </w:r>
      <w:r w:rsidR="00234302" w:rsidRPr="00CA5F97">
        <w:rPr>
          <w:b/>
        </w:rPr>
        <w:t>-</w:t>
      </w:r>
      <w:r w:rsidRPr="00CA5F97">
        <w:rPr>
          <w:b/>
        </w:rPr>
        <w:t>47). Münster: Serviceagentur „Ganztägig lernen" NRW, Institut für soziale Arbeit e.V.</w:t>
      </w:r>
      <w:r w:rsidR="00FA5108">
        <w:rPr>
          <w:b/>
        </w:rPr>
        <w:t xml:space="preserve"> </w:t>
      </w:r>
      <w:r w:rsidR="00FA5108">
        <w:rPr>
          <w:rFonts w:ascii="Calibri" w:hAnsi="Calibri"/>
        </w:rPr>
        <w:t xml:space="preserve">Aufgerufen am 27.07.2020. Verfügbar unter </w:t>
      </w:r>
    </w:p>
    <w:p w:rsidR="00A808A7" w:rsidRPr="00CA5F97" w:rsidRDefault="000C0284" w:rsidP="002B5377">
      <w:pPr>
        <w:jc w:val="both"/>
        <w:rPr>
          <w:b/>
        </w:rPr>
      </w:pPr>
      <w:hyperlink r:id="rId16" w:history="1">
        <w:r w:rsidR="00FA5108" w:rsidRPr="00AF56EA">
          <w:rPr>
            <w:rStyle w:val="Hyperlink"/>
            <w:rFonts w:ascii="Calibri" w:hAnsi="Calibri"/>
          </w:rPr>
          <w:t>https://www.stiftung-mercator.de/media/downloads/3_Publikationen/2018/Juli/Lernpotenziale_2018_Heft_4.pdf</w:t>
        </w:r>
      </w:hyperlink>
    </w:p>
    <w:p w:rsidR="00A808A7" w:rsidRDefault="00A808A7" w:rsidP="002B5377">
      <w:pPr>
        <w:jc w:val="both"/>
      </w:pPr>
      <w:r>
        <w:t>Der Artikel beschreibt die wesentlichen Aspekte der Qualifizierung, die konkrete Umsetzung der Qualifizierung in der Schule, die Arbeit in Netzwerkstrukturen und schließlich die Gestaltung der Qualifizierung zu Lerncoachs als nachhaltigen Prozess.</w:t>
      </w:r>
    </w:p>
    <w:p w:rsidR="00A808A7" w:rsidRDefault="00A808A7" w:rsidP="002B5377">
      <w:pPr>
        <w:jc w:val="both"/>
        <w:rPr>
          <w:b/>
          <w:color w:val="FF0000"/>
        </w:rPr>
      </w:pPr>
    </w:p>
    <w:p w:rsidR="00A808A7" w:rsidRPr="00CA5F97" w:rsidRDefault="00A808A7" w:rsidP="002B5377">
      <w:pPr>
        <w:jc w:val="both"/>
        <w:rPr>
          <w:b/>
        </w:rPr>
      </w:pPr>
      <w:r w:rsidRPr="00CA5F97">
        <w:rPr>
          <w:b/>
        </w:rPr>
        <w:t xml:space="preserve">Nicolaisen, T. (2013). </w:t>
      </w:r>
      <w:r w:rsidRPr="00CA5F97">
        <w:rPr>
          <w:b/>
          <w:i/>
        </w:rPr>
        <w:t>Lerncoaching-Praxis.</w:t>
      </w:r>
      <w:r w:rsidRPr="00CA5F97">
        <w:rPr>
          <w:b/>
        </w:rPr>
        <w:t xml:space="preserve"> Coaching in pädagogischen Arbeitsfeldern. Weinheim, Basel: Beltz, Juventa.</w:t>
      </w:r>
    </w:p>
    <w:p w:rsidR="00A808A7" w:rsidRPr="00197BA8" w:rsidRDefault="00A808A7" w:rsidP="002B5377">
      <w:pPr>
        <w:jc w:val="both"/>
      </w:pPr>
      <w:r>
        <w:t>Der Autor nimmt Lernprozesse aus systemischer Sicht in den Blick und schafft einen praxisorientierten Überblick zur Begleitung von Lernprozessen. Die professionelle Gesprächsführung wird in dem Kontext besonders thematisiert.</w:t>
      </w:r>
    </w:p>
    <w:p w:rsidR="00A808A7" w:rsidRDefault="00A808A7" w:rsidP="002B5377">
      <w:pPr>
        <w:jc w:val="both"/>
        <w:rPr>
          <w:b/>
          <w:color w:val="FF0000"/>
        </w:rPr>
      </w:pPr>
    </w:p>
    <w:p w:rsidR="00CF77FE" w:rsidRPr="00CA5F97" w:rsidRDefault="00F96D36" w:rsidP="002B5377">
      <w:pPr>
        <w:jc w:val="both"/>
        <w:rPr>
          <w:b/>
        </w:rPr>
      </w:pPr>
      <w:r w:rsidRPr="00CA5F97">
        <w:rPr>
          <w:b/>
        </w:rPr>
        <w:t>Petersen, R</w:t>
      </w:r>
      <w:r w:rsidR="00D94C7F" w:rsidRPr="00CA5F97">
        <w:rPr>
          <w:b/>
        </w:rPr>
        <w:t>., Petersen, I. &amp; Pallasch, W.</w:t>
      </w:r>
      <w:r w:rsidRPr="00CA5F97">
        <w:rPr>
          <w:b/>
        </w:rPr>
        <w:t xml:space="preserve"> (2009)</w:t>
      </w:r>
      <w:r w:rsidR="00D94C7F" w:rsidRPr="00CA5F97">
        <w:rPr>
          <w:b/>
        </w:rPr>
        <w:t>.</w:t>
      </w:r>
      <w:r w:rsidR="00CF77FE" w:rsidRPr="00CA5F97">
        <w:rPr>
          <w:b/>
        </w:rPr>
        <w:t xml:space="preserve"> Professionelle Gesprächsführung im Lerncoaching. Grundlegende Bausteine konsultativer Arbeit. </w:t>
      </w:r>
      <w:r w:rsidR="00CF77FE" w:rsidRPr="00CA5F97">
        <w:rPr>
          <w:b/>
          <w:i/>
        </w:rPr>
        <w:t xml:space="preserve">Lernende Schule, </w:t>
      </w:r>
      <w:r w:rsidR="00765B7F" w:rsidRPr="00CA5F97">
        <w:rPr>
          <w:b/>
          <w:i/>
        </w:rPr>
        <w:t>45</w:t>
      </w:r>
      <w:r w:rsidR="00765B7F" w:rsidRPr="00CA5F97">
        <w:rPr>
          <w:b/>
        </w:rPr>
        <w:t xml:space="preserve">, </w:t>
      </w:r>
      <w:r w:rsidR="007F0F49" w:rsidRPr="00CA5F97">
        <w:rPr>
          <w:b/>
        </w:rPr>
        <w:t xml:space="preserve">S. </w:t>
      </w:r>
      <w:r w:rsidR="007A0CAE" w:rsidRPr="00CA5F97">
        <w:rPr>
          <w:b/>
        </w:rPr>
        <w:t>16</w:t>
      </w:r>
      <w:r w:rsidR="00D94C7F" w:rsidRPr="00CA5F97">
        <w:rPr>
          <w:b/>
        </w:rPr>
        <w:t>-17.</w:t>
      </w:r>
    </w:p>
    <w:p w:rsidR="00CF77FE" w:rsidRPr="00CF77FE" w:rsidRDefault="00CF77FE" w:rsidP="002B5377">
      <w:pPr>
        <w:jc w:val="both"/>
        <w:rPr>
          <w:color w:val="000000" w:themeColor="text1"/>
        </w:rPr>
      </w:pPr>
      <w:r>
        <w:rPr>
          <w:color w:val="000000" w:themeColor="text1"/>
        </w:rPr>
        <w:t xml:space="preserve">Die Bedeutung der Lehrer-Schüler-Beziehung für Lerncoaching-Prozesse wird </w:t>
      </w:r>
      <w:r w:rsidR="00F86C38">
        <w:rPr>
          <w:color w:val="000000" w:themeColor="text1"/>
        </w:rPr>
        <w:t>hervorgehoben. In dem Zusammenhang wird die Gesprächsführung als zentrale Kompeten</w:t>
      </w:r>
      <w:r w:rsidR="007A0CAE">
        <w:rPr>
          <w:color w:val="000000" w:themeColor="text1"/>
        </w:rPr>
        <w:t>z des Lerncoachs thematisiert.</w:t>
      </w:r>
    </w:p>
    <w:p w:rsidR="00AF2170" w:rsidRDefault="00AF2170" w:rsidP="002B5377">
      <w:pPr>
        <w:jc w:val="both"/>
        <w:rPr>
          <w:b/>
          <w:color w:val="FF0000"/>
        </w:rPr>
      </w:pPr>
    </w:p>
    <w:p w:rsidR="0005271C" w:rsidRPr="00CF77FE" w:rsidRDefault="0005271C" w:rsidP="002B5377">
      <w:pPr>
        <w:jc w:val="both"/>
        <w:rPr>
          <w:b/>
          <w:color w:val="FF0000"/>
        </w:rPr>
      </w:pPr>
    </w:p>
    <w:p w:rsidR="00AF2170" w:rsidRDefault="00AF2170" w:rsidP="002B5377">
      <w:pPr>
        <w:jc w:val="both"/>
      </w:pPr>
    </w:p>
    <w:sectPr w:rsidR="00AF2170" w:rsidSect="00FA6D3C">
      <w:headerReference w:type="default" r:id="rId17"/>
      <w:footerReference w:type="default" r:id="rId18"/>
      <w:pgSz w:w="11900" w:h="16840"/>
      <w:pgMar w:top="1417"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71C" w:rsidRDefault="0005271C" w:rsidP="0005271C">
      <w:r>
        <w:separator/>
      </w:r>
    </w:p>
  </w:endnote>
  <w:endnote w:type="continuationSeparator" w:id="0">
    <w:p w:rsidR="0005271C" w:rsidRDefault="0005271C" w:rsidP="00052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436203"/>
      <w:docPartObj>
        <w:docPartGallery w:val="Page Numbers (Bottom of Page)"/>
        <w:docPartUnique/>
      </w:docPartObj>
    </w:sdtPr>
    <w:sdtEndPr/>
    <w:sdtContent>
      <w:p w:rsidR="00FA6D3C" w:rsidRDefault="00FA6D3C">
        <w:pPr>
          <w:pStyle w:val="Fuzeile"/>
          <w:rPr>
            <w:rFonts w:cstheme="minorHAnsi"/>
            <w:color w:val="333333"/>
            <w:sz w:val="18"/>
            <w:szCs w:val="18"/>
          </w:rPr>
        </w:pPr>
        <w:r w:rsidRPr="00B94136">
          <w:rPr>
            <w:noProof/>
            <w:lang w:eastAsia="de-DE"/>
          </w:rPr>
          <mc:AlternateContent>
            <mc:Choice Requires="wpg">
              <w:drawing>
                <wp:anchor distT="152400" distB="152400" distL="152400" distR="152400" simplePos="0" relativeHeight="251656192" behindDoc="1" locked="0" layoutInCell="1" allowOverlap="1" wp14:anchorId="500B5536" wp14:editId="5DD0D1A1">
                  <wp:simplePos x="0" y="0"/>
                  <wp:positionH relativeFrom="page">
                    <wp:posOffset>-95885</wp:posOffset>
                  </wp:positionH>
                  <wp:positionV relativeFrom="page">
                    <wp:posOffset>9766300</wp:posOffset>
                  </wp:positionV>
                  <wp:extent cx="7752715" cy="190500"/>
                  <wp:effectExtent l="0" t="0" r="19685" b="0"/>
                  <wp:wrapNone/>
                  <wp:docPr id="1073741829" name="officeArt object" descr="Gruppe 33"/>
                  <wp:cNvGraphicFramePr/>
                  <a:graphic xmlns:a="http://schemas.openxmlformats.org/drawingml/2006/main">
                    <a:graphicData uri="http://schemas.microsoft.com/office/word/2010/wordprocessingGroup">
                      <wpg:wgp>
                        <wpg:cNvGrpSpPr/>
                        <wpg:grpSpPr>
                          <a:xfrm>
                            <a:off x="0" y="0"/>
                            <a:ext cx="7752715" cy="190500"/>
                            <a:chOff x="0" y="0"/>
                            <a:chExt cx="7753337" cy="190500"/>
                          </a:xfrm>
                        </wpg:grpSpPr>
                        <wps:wsp>
                          <wps:cNvPr id="1073741825" name="Text Box 25"/>
                          <wps:cNvSpPr txBox="1"/>
                          <wps:spPr>
                            <a:xfrm>
                              <a:off x="6834705" y="7619"/>
                              <a:ext cx="416928" cy="182882"/>
                            </a:xfrm>
                            <a:prstGeom prst="rect">
                              <a:avLst/>
                            </a:prstGeom>
                            <a:noFill/>
                            <a:ln w="12700" cap="flat">
                              <a:noFill/>
                              <a:miter lim="400000"/>
                            </a:ln>
                            <a:effectLst/>
                          </wps:spPr>
                          <wps:txbx>
                            <w:txbxContent>
                              <w:p w:rsidR="00FA6D3C" w:rsidRDefault="00FA6D3C" w:rsidP="00FA6D3C">
                                <w:pPr>
                                  <w:jc w:val="center"/>
                                </w:pPr>
                                <w:r>
                                  <w:fldChar w:fldCharType="begin"/>
                                </w:r>
                                <w:r>
                                  <w:instrText xml:space="preserve"> PAGE </w:instrText>
                                </w:r>
                                <w:r>
                                  <w:fldChar w:fldCharType="separate"/>
                                </w:r>
                                <w:r w:rsidR="000C0284">
                                  <w:rPr>
                                    <w:noProof/>
                                  </w:rPr>
                                  <w:t>1</w:t>
                                </w:r>
                                <w:r>
                                  <w:fldChar w:fldCharType="end"/>
                                </w:r>
                              </w:p>
                            </w:txbxContent>
                          </wps:txbx>
                          <wps:bodyPr wrap="square" lIns="0" tIns="0" rIns="0" bIns="0" numCol="1" anchor="t">
                            <a:noAutofit/>
                          </wps:bodyPr>
                        </wps:wsp>
                        <wpg:grpSp>
                          <wpg:cNvPr id="1073741828" name="Group 31"/>
                          <wpg:cNvGrpSpPr/>
                          <wpg:grpSpPr>
                            <a:xfrm>
                              <a:off x="0" y="-1"/>
                              <a:ext cx="7753339" cy="146052"/>
                              <a:chOff x="0" y="0"/>
                              <a:chExt cx="7753337" cy="146050"/>
                            </a:xfrm>
                          </wpg:grpSpPr>
                          <wps:wsp>
                            <wps:cNvPr id="1073741826" name="AutoShape 27"/>
                            <wps:cNvSpPr/>
                            <wps:spPr>
                              <a:xfrm rot="10800000">
                                <a:off x="6956177" y="0"/>
                                <a:ext cx="797161" cy="14605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00" y="0"/>
                                    </a:lnTo>
                                    <a:lnTo>
                                      <a:pt x="10800" y="21600"/>
                                    </a:lnTo>
                                    <a:lnTo>
                                      <a:pt x="21600" y="21600"/>
                                    </a:lnTo>
                                  </a:path>
                                </a:pathLst>
                              </a:custGeom>
                              <a:noFill/>
                              <a:ln w="9525" cap="flat">
                                <a:solidFill>
                                  <a:srgbClr val="A5A5A5"/>
                                </a:solidFill>
                                <a:prstDash val="solid"/>
                                <a:miter lim="800000"/>
                              </a:ln>
                              <a:effectLst/>
                            </wps:spPr>
                            <wps:bodyPr/>
                          </wps:wsp>
                          <wps:wsp>
                            <wps:cNvPr id="1073741827" name="AutoShape 28"/>
                            <wps:cNvSpPr/>
                            <wps:spPr>
                              <a:xfrm rot="10800000" flipH="1">
                                <a:off x="0" y="0"/>
                                <a:ext cx="6956178" cy="14605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0904" y="0"/>
                                    </a:lnTo>
                                    <a:lnTo>
                                      <a:pt x="20904" y="21600"/>
                                    </a:lnTo>
                                    <a:lnTo>
                                      <a:pt x="21600" y="21600"/>
                                    </a:lnTo>
                                  </a:path>
                                </a:pathLst>
                              </a:custGeom>
                              <a:noFill/>
                              <a:ln w="9525" cap="flat">
                                <a:solidFill>
                                  <a:srgbClr val="A5A5A5"/>
                                </a:solidFill>
                                <a:prstDash val="solid"/>
                                <a:miter lim="800000"/>
                              </a:ln>
                              <a:effectLst/>
                            </wps:spPr>
                            <wps:bodyPr/>
                          </wps:wsp>
                        </wpg:grpSp>
                      </wpg:wgp>
                    </a:graphicData>
                  </a:graphic>
                </wp:anchor>
              </w:drawing>
            </mc:Choice>
            <mc:Fallback>
              <w:pict>
                <v:group w14:anchorId="500B5536" id="officeArt object" o:spid="_x0000_s1026" alt="Gruppe 33" style="position:absolute;margin-left:-7.55pt;margin-top:769pt;width:610.45pt;height:15pt;z-index:-251660288;mso-wrap-distance-left:12pt;mso-wrap-distance-top:12pt;mso-wrap-distance-right:12pt;mso-wrap-distance-bottom:12pt;mso-position-horizontal-relative:page;mso-position-vertical-relative:page" coordsize="7753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">
                  <v:shapetype id="_x0000_t202" coordsize="21600,21600" o:spt="202" path="m,l,21600r21600,l21600,xe">
                    <v:stroke joinstyle="miter"/>
                    <v:path gradientshapeok="t" o:connecttype="rect"/>
                  </v:shapetype>
                  <v:shape id="Text Box 25" o:spid="_x0000_s1027" type="#_x0000_t202" style="position:absolute;left:68347;top:76;width:4169;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" filled="f" stroked="f" strokeweight="1pt">
                    <v:stroke miterlimit="4"/>
                    <v:textbox inset="0,0,0,0">
                      <w:txbxContent>
                        <w:p w:rsidR="00FA6D3C" w:rsidRDefault="00FA6D3C" w:rsidP="00FA6D3C">
                          <w:pPr>
                            <w:jc w:val="center"/>
                          </w:pPr>
                          <w:r>
                            <w:fldChar w:fldCharType="begin"/>
                          </w:r>
                          <w:r>
                            <w:instrText xml:space="preserve"> PAGE </w:instrText>
                          </w:r>
                          <w:r>
                            <w:fldChar w:fldCharType="separate"/>
                          </w:r>
                          <w:r w:rsidR="000C0284">
                            <w:rPr>
                              <w:noProof/>
                            </w:rPr>
                            <w:t>1</w:t>
                          </w:r>
                          <w:r>
                            <w:fldChar w:fldCharType="end"/>
                          </w:r>
                        </w:p>
                      </w:txbxContent>
                    </v:textbox>
                  </v:shape>
                  <v:group id="Group 31" o:spid="_x0000_s1028" style="position:absolute;width:77533;height:1460" coordsize="77533,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">
                    <v:shape id="AutoShape 27" o:spid="_x0000_s1029" style="position:absolute;left:69561;width:7972;height:1460;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" path="m,l10800,r,21600l21600,21600e" filled="f" strokecolor="#a5a5a5">
                      <v:stroke joinstyle="miter"/>
                      <v:path arrowok="t" o:extrusionok="f" o:connecttype="custom" o:connectlocs="398581,73026;398581,73026;398581,73026;398581,73026" o:connectangles="0,90,180,270"/>
                    </v:shape>
                    <v:shape id="AutoShape 28" o:spid="_x0000_s1030" style="position:absolute;width:69561;height:1460;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" path="m,l20904,r,21600l21600,21600e" filled="f" strokecolor="#a5a5a5">
                      <v:stroke joinstyle="miter"/>
                      <v:path arrowok="t" o:extrusionok="f" o:connecttype="custom" o:connectlocs="3478089,73026;3478089,73026;3478089,73026;3478089,73026" o:connectangles="0,90,180,270"/>
                    </v:shape>
                  </v:group>
                  <w10:wrap anchorx="page" anchory="page"/>
                </v:group>
              </w:pict>
            </mc:Fallback>
          </mc:AlternateContent>
        </w:r>
        <w:r w:rsidRPr="00B94136">
          <w:rPr>
            <w:rFonts w:cstheme="minorHAnsi"/>
            <w:color w:val="333333"/>
            <w:sz w:val="18"/>
            <w:szCs w:val="18"/>
          </w:rPr>
          <w:t xml:space="preserve">Diese </w:t>
        </w:r>
        <w:r>
          <w:rPr>
            <w:rFonts w:cstheme="minorHAnsi"/>
            <w:color w:val="333333"/>
            <w:sz w:val="18"/>
            <w:szCs w:val="18"/>
          </w:rPr>
          <w:t>Liste</w:t>
        </w:r>
        <w:r w:rsidRPr="00B94136">
          <w:rPr>
            <w:rFonts w:cstheme="minorHAnsi"/>
            <w:color w:val="333333"/>
            <w:sz w:val="18"/>
            <w:szCs w:val="18"/>
          </w:rPr>
          <w:t xml:space="preserve"> (Titel, Unter</w:t>
        </w:r>
        <w:r>
          <w:rPr>
            <w:rFonts w:cstheme="minorHAnsi"/>
            <w:color w:val="333333"/>
            <w:sz w:val="18"/>
            <w:szCs w:val="18"/>
          </w:rPr>
          <w:t xml:space="preserve">titel, Text, Logo, etc.) </w:t>
        </w:r>
        <w:r w:rsidRPr="00B94136">
          <w:rPr>
            <w:rFonts w:cstheme="minorHAnsi"/>
            <w:color w:val="333333"/>
            <w:sz w:val="18"/>
            <w:szCs w:val="18"/>
          </w:rPr>
          <w:t xml:space="preserve">steht unter der Lizenz </w:t>
        </w:r>
        <w:hyperlink r:id="rId1" w:tgtFrame="_blank" w:history="1">
          <w:r w:rsidRPr="00B94136">
            <w:rPr>
              <w:rStyle w:val="Hyperlink"/>
              <w:rFonts w:cstheme="minorHAnsi"/>
              <w:sz w:val="18"/>
              <w:szCs w:val="18"/>
            </w:rPr>
            <w:t>CC BY-SA 4.0</w:t>
          </w:r>
        </w:hyperlink>
        <w:r w:rsidRPr="00B94136">
          <w:rPr>
            <w:rFonts w:cstheme="minorHAnsi"/>
            <w:color w:val="333333"/>
            <w:sz w:val="18"/>
            <w:szCs w:val="18"/>
          </w:rPr>
          <w:t xml:space="preserve"> und kann unter deren Bedingungen kostenlos und frei verwendet, verändert und weitergegeben werden. Urheber im Sinne der Lizenz ist die </w:t>
        </w:r>
        <w:hyperlink r:id="rId2" w:tgtFrame="_blank" w:history="1">
          <w:r w:rsidRPr="00B94136">
            <w:rPr>
              <w:rStyle w:val="Hyperlink"/>
              <w:rFonts w:cstheme="minorHAnsi"/>
              <w:sz w:val="18"/>
              <w:szCs w:val="18"/>
            </w:rPr>
            <w:t>QUA-LiS NRW</w:t>
          </w:r>
        </w:hyperlink>
        <w:r w:rsidRPr="00B94136">
          <w:rPr>
            <w:rFonts w:cstheme="minorHAnsi"/>
            <w:color w:val="333333"/>
            <w:sz w:val="18"/>
            <w:szCs w:val="18"/>
          </w:rPr>
          <w:t>.</w:t>
        </w:r>
      </w:p>
      <w:p w:rsidR="00FA6D3C" w:rsidRDefault="00FA6D3C">
        <w:pPr>
          <w:pStyle w:val="Fuzeile"/>
          <w:rPr>
            <w:rFonts w:cstheme="minorHAnsi"/>
            <w:color w:val="333333"/>
            <w:sz w:val="18"/>
            <w:szCs w:val="18"/>
          </w:rPr>
        </w:pPr>
        <w:r>
          <w:rPr>
            <w:noProof/>
            <w:lang w:eastAsia="de-DE"/>
          </w:rPr>
          <w:drawing>
            <wp:anchor distT="0" distB="0" distL="114300" distR="114300" simplePos="0" relativeHeight="251670528" behindDoc="0" locked="0" layoutInCell="1" allowOverlap="1" wp14:anchorId="2F4F8B28" wp14:editId="199A5068">
              <wp:simplePos x="0" y="0"/>
              <wp:positionH relativeFrom="column">
                <wp:posOffset>5591810</wp:posOffset>
              </wp:positionH>
              <wp:positionV relativeFrom="paragraph">
                <wp:posOffset>12700</wp:posOffset>
              </wp:positionV>
              <wp:extent cx="907415" cy="317500"/>
              <wp:effectExtent l="0" t="0" r="6985" b="6350"/>
              <wp:wrapThrough wrapText="bothSides">
                <wp:wrapPolygon edited="0">
                  <wp:start x="0" y="0"/>
                  <wp:lineTo x="0" y="20736"/>
                  <wp:lineTo x="21313" y="20736"/>
                  <wp:lineTo x="21313"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y-sa.png"/>
                      <pic:cNvPicPr/>
                    </pic:nvPicPr>
                    <pic:blipFill>
                      <a:blip r:embed="rId3">
                        <a:extLst>
                          <a:ext uri="{28A0092B-C50C-407E-A947-70E740481C1C}">
                            <a14:useLocalDpi xmlns:a14="http://schemas.microsoft.com/office/drawing/2010/main" val="0"/>
                          </a:ext>
                        </a:extLst>
                      </a:blip>
                      <a:stretch>
                        <a:fillRect/>
                      </a:stretch>
                    </pic:blipFill>
                    <pic:spPr>
                      <a:xfrm>
                        <a:off x="0" y="0"/>
                        <a:ext cx="907415" cy="317500"/>
                      </a:xfrm>
                      <a:prstGeom prst="rect">
                        <a:avLst/>
                      </a:prstGeom>
                    </pic:spPr>
                  </pic:pic>
                </a:graphicData>
              </a:graphic>
              <wp14:sizeRelH relativeFrom="page">
                <wp14:pctWidth>0</wp14:pctWidth>
              </wp14:sizeRelH>
              <wp14:sizeRelV relativeFrom="page">
                <wp14:pctHeight>0</wp14:pctHeight>
              </wp14:sizeRelV>
            </wp:anchor>
          </w:drawing>
        </w:r>
      </w:p>
      <w:p w:rsidR="00FA6D3C" w:rsidRPr="00FA6D3C" w:rsidRDefault="00FA6D3C">
        <w:pPr>
          <w:pStyle w:val="Fuzeile"/>
          <w:rPr>
            <w:rFonts w:cstheme="minorHAnsi"/>
            <w:color w:val="333333"/>
            <w:sz w:val="18"/>
            <w:szCs w:val="18"/>
          </w:rPr>
        </w:pPr>
        <w:r>
          <w:rPr>
            <w:rFonts w:cstheme="minorHAnsi"/>
            <w:color w:val="333333"/>
            <w:sz w:val="18"/>
            <w:szCs w:val="18"/>
          </w:rPr>
          <w:t xml:space="preserve"> </w:t>
        </w:r>
      </w:p>
    </w:sdtContent>
  </w:sdt>
  <w:p w:rsidR="00341EDF" w:rsidRDefault="00341ED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71C" w:rsidRDefault="0005271C" w:rsidP="0005271C">
      <w:r>
        <w:separator/>
      </w:r>
    </w:p>
  </w:footnote>
  <w:footnote w:type="continuationSeparator" w:id="0">
    <w:p w:rsidR="0005271C" w:rsidRDefault="0005271C" w:rsidP="00052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71C" w:rsidRPr="007A3DB8" w:rsidRDefault="0005271C" w:rsidP="0005271C">
    <w:pPr>
      <w:framePr w:w="2058" w:h="1860" w:hSpace="142" w:wrap="notBeside" w:vAnchor="page" w:hAnchor="page" w:x="7276" w:y="857"/>
      <w:rPr>
        <w:b/>
        <w:sz w:val="16"/>
        <w:szCs w:val="16"/>
      </w:rPr>
    </w:pPr>
    <w:r w:rsidRPr="007A3DB8">
      <w:rPr>
        <w:rFonts w:cs="Arial"/>
        <w:b/>
        <w:sz w:val="16"/>
        <w:szCs w:val="16"/>
      </w:rPr>
      <w:t>Qualitäts- und</w:t>
    </w:r>
    <w:r>
      <w:rPr>
        <w:rFonts w:cs="Arial"/>
        <w:b/>
        <w:sz w:val="16"/>
        <w:szCs w:val="16"/>
      </w:rPr>
      <w:br/>
    </w:r>
    <w:r w:rsidRPr="007A3DB8">
      <w:rPr>
        <w:rFonts w:cs="Arial"/>
        <w:b/>
        <w:sz w:val="16"/>
        <w:szCs w:val="16"/>
      </w:rPr>
      <w:t>UnterstützungsAgentur</w:t>
    </w:r>
    <w:r>
      <w:rPr>
        <w:rFonts w:cs="Arial"/>
        <w:b/>
        <w:sz w:val="16"/>
        <w:szCs w:val="16"/>
      </w:rPr>
      <w:t xml:space="preserve"> -</w:t>
    </w:r>
    <w:r>
      <w:rPr>
        <w:rFonts w:cs="Arial"/>
        <w:b/>
        <w:sz w:val="16"/>
        <w:szCs w:val="16"/>
      </w:rPr>
      <w:br/>
    </w:r>
    <w:r w:rsidRPr="007A3DB8">
      <w:rPr>
        <w:rFonts w:cs="Arial"/>
        <w:b/>
        <w:sz w:val="16"/>
        <w:szCs w:val="16"/>
      </w:rPr>
      <w:t xml:space="preserve">Landesinstitut für Schule </w:t>
    </w:r>
  </w:p>
  <w:p w:rsidR="00FA5108" w:rsidRDefault="00FA5108" w:rsidP="0005271C">
    <w:pPr>
      <w:pStyle w:val="Kopfzeile"/>
      <w:spacing w:after="240"/>
    </w:pPr>
  </w:p>
  <w:p w:rsidR="00FA5108" w:rsidRDefault="00FA5108" w:rsidP="0005271C">
    <w:pPr>
      <w:pStyle w:val="Kopfzeile"/>
      <w:spacing w:after="240"/>
    </w:pPr>
  </w:p>
  <w:p w:rsidR="00FA5108" w:rsidRDefault="00FA5108" w:rsidP="00FA5108">
    <w:pPr>
      <w:pStyle w:val="Kopfzeile"/>
      <w:spacing w:after="240"/>
      <w:jc w:val="center"/>
    </w:pPr>
  </w:p>
  <w:p w:rsidR="0005271C" w:rsidRDefault="00FA5108" w:rsidP="00FA5108">
    <w:pPr>
      <w:pStyle w:val="Kopfzeile"/>
      <w:spacing w:after="240"/>
      <w:jc w:val="center"/>
    </w:pPr>
    <w:r>
      <w:rPr>
        <w:i/>
      </w:rPr>
      <w:t>Fortbildungsmaterialien zur Schul- und Unterrichtsentwicklung aus Netzwerkprojekten</w:t>
    </w:r>
    <w:r w:rsidR="0005271C">
      <w:rPr>
        <w:noProof/>
        <w:lang w:eastAsia="de-DE"/>
      </w:rPr>
      <w:drawing>
        <wp:anchor distT="0" distB="0" distL="114300" distR="114300" simplePos="0" relativeHeight="251642880" behindDoc="0" locked="1" layoutInCell="1" allowOverlap="1" wp14:anchorId="37D94B64" wp14:editId="262E0476">
          <wp:simplePos x="0" y="0"/>
          <wp:positionH relativeFrom="page">
            <wp:posOffset>821055</wp:posOffset>
          </wp:positionH>
          <wp:positionV relativeFrom="page">
            <wp:posOffset>389255</wp:posOffset>
          </wp:positionV>
          <wp:extent cx="2232025" cy="702310"/>
          <wp:effectExtent l="0" t="0" r="0" b="254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025" cy="702310"/>
                  </a:xfrm>
                  <a:prstGeom prst="rect">
                    <a:avLst/>
                  </a:prstGeom>
                  <a:noFill/>
                  <a:ln>
                    <a:noFill/>
                  </a:ln>
                </pic:spPr>
              </pic:pic>
            </a:graphicData>
          </a:graphic>
        </wp:anchor>
      </w:drawing>
    </w:r>
    <w:r w:rsidR="0005271C">
      <w:rPr>
        <w:noProof/>
        <w:lang w:eastAsia="de-DE"/>
      </w:rPr>
      <w:drawing>
        <wp:anchor distT="0" distB="0" distL="114300" distR="114300" simplePos="0" relativeHeight="251682816" behindDoc="0" locked="1" layoutInCell="1" allowOverlap="1" wp14:anchorId="4E6DE122" wp14:editId="6862AD04">
          <wp:simplePos x="0" y="0"/>
          <wp:positionH relativeFrom="page">
            <wp:posOffset>5941060</wp:posOffset>
          </wp:positionH>
          <wp:positionV relativeFrom="page">
            <wp:posOffset>540385</wp:posOffset>
          </wp:positionV>
          <wp:extent cx="543560" cy="579755"/>
          <wp:effectExtent l="0" t="0" r="8890" b="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3560" cy="5797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399F"/>
    <w:multiLevelType w:val="hybridMultilevel"/>
    <w:tmpl w:val="81F060A8"/>
    <w:lvl w:ilvl="0" w:tplc="96B4090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AF1135"/>
    <w:multiLevelType w:val="hybridMultilevel"/>
    <w:tmpl w:val="3FBEEB0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A3959F0"/>
    <w:multiLevelType w:val="hybridMultilevel"/>
    <w:tmpl w:val="0306490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B4A15EB"/>
    <w:multiLevelType w:val="hybridMultilevel"/>
    <w:tmpl w:val="FA80AF68"/>
    <w:lvl w:ilvl="0" w:tplc="802A38B6">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4" w15:restartNumberingAfterBreak="0">
    <w:nsid w:val="53076B14"/>
    <w:multiLevelType w:val="hybridMultilevel"/>
    <w:tmpl w:val="AE1E5FD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5C003DAB"/>
    <w:multiLevelType w:val="hybridMultilevel"/>
    <w:tmpl w:val="54826DB0"/>
    <w:lvl w:ilvl="0" w:tplc="83BC5C9C">
      <w:start w:val="3"/>
      <w:numFmt w:val="bullet"/>
      <w:lvlText w:val=""/>
      <w:lvlJc w:val="left"/>
      <w:pPr>
        <w:ind w:left="720" w:hanging="360"/>
      </w:pPr>
      <w:rPr>
        <w:rFonts w:ascii="Wingdings" w:eastAsia="Times New Roma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2D7C76"/>
    <w:multiLevelType w:val="hybridMultilevel"/>
    <w:tmpl w:val="9DFE8648"/>
    <w:lvl w:ilvl="0" w:tplc="6D049BF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A61501"/>
    <w:multiLevelType w:val="hybridMultilevel"/>
    <w:tmpl w:val="9A96091A"/>
    <w:lvl w:ilvl="0" w:tplc="B3B222F6">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B73FBE"/>
    <w:multiLevelType w:val="hybridMultilevel"/>
    <w:tmpl w:val="E2C09E6A"/>
    <w:lvl w:ilvl="0" w:tplc="65365FAC">
      <w:start w:val="3"/>
      <w:numFmt w:val="bullet"/>
      <w:lvlText w:val=""/>
      <w:lvlJc w:val="left"/>
      <w:pPr>
        <w:ind w:left="720" w:hanging="360"/>
      </w:pPr>
      <w:rPr>
        <w:rFonts w:ascii="Wingdings" w:eastAsia="Times New Roma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8246A5A"/>
    <w:multiLevelType w:val="hybridMultilevel"/>
    <w:tmpl w:val="8A2634FC"/>
    <w:lvl w:ilvl="0" w:tplc="3F8AE7DC">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7"/>
  </w:num>
  <w:num w:numId="2">
    <w:abstractNumId w:val="5"/>
  </w:num>
  <w:num w:numId="3">
    <w:abstractNumId w:val="8"/>
  </w:num>
  <w:num w:numId="4">
    <w:abstractNumId w:val="3"/>
  </w:num>
  <w:num w:numId="5">
    <w:abstractNumId w:val="1"/>
  </w:num>
  <w:num w:numId="6">
    <w:abstractNumId w:val="2"/>
  </w:num>
  <w:num w:numId="7">
    <w:abstractNumId w:val="9"/>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C47"/>
    <w:rsid w:val="000117CB"/>
    <w:rsid w:val="00020BB1"/>
    <w:rsid w:val="00035552"/>
    <w:rsid w:val="0004423E"/>
    <w:rsid w:val="0004583D"/>
    <w:rsid w:val="0005271C"/>
    <w:rsid w:val="00064DEA"/>
    <w:rsid w:val="000767EF"/>
    <w:rsid w:val="000803BF"/>
    <w:rsid w:val="00090ECE"/>
    <w:rsid w:val="000A33DA"/>
    <w:rsid w:val="000B09E2"/>
    <w:rsid w:val="000C0284"/>
    <w:rsid w:val="000E7628"/>
    <w:rsid w:val="000F6B3C"/>
    <w:rsid w:val="001453F1"/>
    <w:rsid w:val="0014656E"/>
    <w:rsid w:val="0015013A"/>
    <w:rsid w:val="00166309"/>
    <w:rsid w:val="00176A37"/>
    <w:rsid w:val="00197BA8"/>
    <w:rsid w:val="001B4AC4"/>
    <w:rsid w:val="001D357A"/>
    <w:rsid w:val="001D48CC"/>
    <w:rsid w:val="001E20E7"/>
    <w:rsid w:val="001E2DB2"/>
    <w:rsid w:val="001E7E70"/>
    <w:rsid w:val="001F65D9"/>
    <w:rsid w:val="002064CF"/>
    <w:rsid w:val="00234302"/>
    <w:rsid w:val="00234BDB"/>
    <w:rsid w:val="00250355"/>
    <w:rsid w:val="00264BE5"/>
    <w:rsid w:val="002653CA"/>
    <w:rsid w:val="00275486"/>
    <w:rsid w:val="002876E1"/>
    <w:rsid w:val="002A34BA"/>
    <w:rsid w:val="002B0B82"/>
    <w:rsid w:val="002B5377"/>
    <w:rsid w:val="002B6BDD"/>
    <w:rsid w:val="002D5FDC"/>
    <w:rsid w:val="002D7B1D"/>
    <w:rsid w:val="002E3DD7"/>
    <w:rsid w:val="003250EA"/>
    <w:rsid w:val="00341EDF"/>
    <w:rsid w:val="00381D95"/>
    <w:rsid w:val="00394704"/>
    <w:rsid w:val="003A0576"/>
    <w:rsid w:val="003A2519"/>
    <w:rsid w:val="003B6BD0"/>
    <w:rsid w:val="003C7EB6"/>
    <w:rsid w:val="003E26C1"/>
    <w:rsid w:val="003E576D"/>
    <w:rsid w:val="00405B95"/>
    <w:rsid w:val="00423A60"/>
    <w:rsid w:val="004425D5"/>
    <w:rsid w:val="004442E0"/>
    <w:rsid w:val="00450CA0"/>
    <w:rsid w:val="004517F8"/>
    <w:rsid w:val="00455AB5"/>
    <w:rsid w:val="00465A04"/>
    <w:rsid w:val="00467026"/>
    <w:rsid w:val="0047236A"/>
    <w:rsid w:val="004773F2"/>
    <w:rsid w:val="004A2F8F"/>
    <w:rsid w:val="004B7BA6"/>
    <w:rsid w:val="004E5274"/>
    <w:rsid w:val="004F05BD"/>
    <w:rsid w:val="004F53B7"/>
    <w:rsid w:val="00507E87"/>
    <w:rsid w:val="00513633"/>
    <w:rsid w:val="0052177B"/>
    <w:rsid w:val="005467D7"/>
    <w:rsid w:val="00550320"/>
    <w:rsid w:val="00562DEF"/>
    <w:rsid w:val="00566B94"/>
    <w:rsid w:val="0057262F"/>
    <w:rsid w:val="00575AA6"/>
    <w:rsid w:val="00577D27"/>
    <w:rsid w:val="005B1696"/>
    <w:rsid w:val="005B3B4B"/>
    <w:rsid w:val="005D1CFD"/>
    <w:rsid w:val="005E24D3"/>
    <w:rsid w:val="006168B5"/>
    <w:rsid w:val="006239AB"/>
    <w:rsid w:val="00634B5E"/>
    <w:rsid w:val="00641BC2"/>
    <w:rsid w:val="00651213"/>
    <w:rsid w:val="00654935"/>
    <w:rsid w:val="00661606"/>
    <w:rsid w:val="00666683"/>
    <w:rsid w:val="006709E1"/>
    <w:rsid w:val="006824FD"/>
    <w:rsid w:val="006825AE"/>
    <w:rsid w:val="0068502F"/>
    <w:rsid w:val="00690B96"/>
    <w:rsid w:val="0069188A"/>
    <w:rsid w:val="006A3871"/>
    <w:rsid w:val="006A38BE"/>
    <w:rsid w:val="006A3911"/>
    <w:rsid w:val="006A39EB"/>
    <w:rsid w:val="006C449C"/>
    <w:rsid w:val="006E0F0B"/>
    <w:rsid w:val="006F63E0"/>
    <w:rsid w:val="00711AD6"/>
    <w:rsid w:val="0072238D"/>
    <w:rsid w:val="007630EE"/>
    <w:rsid w:val="00765B7F"/>
    <w:rsid w:val="00774001"/>
    <w:rsid w:val="007740BF"/>
    <w:rsid w:val="0078318A"/>
    <w:rsid w:val="007A0CAE"/>
    <w:rsid w:val="007B0237"/>
    <w:rsid w:val="007B6B75"/>
    <w:rsid w:val="007C5F36"/>
    <w:rsid w:val="007F0F49"/>
    <w:rsid w:val="007F13A8"/>
    <w:rsid w:val="007F2BE8"/>
    <w:rsid w:val="00816E5A"/>
    <w:rsid w:val="00825983"/>
    <w:rsid w:val="008265E3"/>
    <w:rsid w:val="0083111A"/>
    <w:rsid w:val="0086166D"/>
    <w:rsid w:val="00866F21"/>
    <w:rsid w:val="008A489F"/>
    <w:rsid w:val="008A704B"/>
    <w:rsid w:val="008B635B"/>
    <w:rsid w:val="008C2D38"/>
    <w:rsid w:val="008F5B0C"/>
    <w:rsid w:val="00924735"/>
    <w:rsid w:val="00934089"/>
    <w:rsid w:val="009564A4"/>
    <w:rsid w:val="009803E0"/>
    <w:rsid w:val="00984734"/>
    <w:rsid w:val="009874E8"/>
    <w:rsid w:val="009E54AD"/>
    <w:rsid w:val="00A039C7"/>
    <w:rsid w:val="00A2214F"/>
    <w:rsid w:val="00A76303"/>
    <w:rsid w:val="00A7786B"/>
    <w:rsid w:val="00A808A7"/>
    <w:rsid w:val="00A81094"/>
    <w:rsid w:val="00A90DD6"/>
    <w:rsid w:val="00A973B2"/>
    <w:rsid w:val="00AA2CDF"/>
    <w:rsid w:val="00AC55F5"/>
    <w:rsid w:val="00AD3C16"/>
    <w:rsid w:val="00AD451A"/>
    <w:rsid w:val="00AE078D"/>
    <w:rsid w:val="00AE416D"/>
    <w:rsid w:val="00AF2170"/>
    <w:rsid w:val="00AF5700"/>
    <w:rsid w:val="00B038CD"/>
    <w:rsid w:val="00B07218"/>
    <w:rsid w:val="00B31B3B"/>
    <w:rsid w:val="00B52C0F"/>
    <w:rsid w:val="00B66D9B"/>
    <w:rsid w:val="00B86D79"/>
    <w:rsid w:val="00B957D6"/>
    <w:rsid w:val="00BD0780"/>
    <w:rsid w:val="00BD7F94"/>
    <w:rsid w:val="00BF1301"/>
    <w:rsid w:val="00C13217"/>
    <w:rsid w:val="00C153C6"/>
    <w:rsid w:val="00C46272"/>
    <w:rsid w:val="00C472C9"/>
    <w:rsid w:val="00C756A7"/>
    <w:rsid w:val="00C94B82"/>
    <w:rsid w:val="00C96BE5"/>
    <w:rsid w:val="00CA2E1C"/>
    <w:rsid w:val="00CA5F97"/>
    <w:rsid w:val="00CE03E5"/>
    <w:rsid w:val="00CE08FD"/>
    <w:rsid w:val="00CE2E05"/>
    <w:rsid w:val="00CE71D0"/>
    <w:rsid w:val="00CF77FE"/>
    <w:rsid w:val="00D14CF7"/>
    <w:rsid w:val="00D16859"/>
    <w:rsid w:val="00D178C0"/>
    <w:rsid w:val="00D261B4"/>
    <w:rsid w:val="00D477E8"/>
    <w:rsid w:val="00D5484F"/>
    <w:rsid w:val="00D624B5"/>
    <w:rsid w:val="00D62508"/>
    <w:rsid w:val="00D732B9"/>
    <w:rsid w:val="00D7365E"/>
    <w:rsid w:val="00D80A30"/>
    <w:rsid w:val="00D9069A"/>
    <w:rsid w:val="00D94C7F"/>
    <w:rsid w:val="00DB2A65"/>
    <w:rsid w:val="00DB40ED"/>
    <w:rsid w:val="00DB70AB"/>
    <w:rsid w:val="00DE32A2"/>
    <w:rsid w:val="00E065C9"/>
    <w:rsid w:val="00E076EE"/>
    <w:rsid w:val="00E15667"/>
    <w:rsid w:val="00E274C0"/>
    <w:rsid w:val="00E34BCA"/>
    <w:rsid w:val="00E54D19"/>
    <w:rsid w:val="00E6463D"/>
    <w:rsid w:val="00E670B2"/>
    <w:rsid w:val="00E674E4"/>
    <w:rsid w:val="00E8492E"/>
    <w:rsid w:val="00E8579E"/>
    <w:rsid w:val="00E85E9B"/>
    <w:rsid w:val="00E94C47"/>
    <w:rsid w:val="00E950B2"/>
    <w:rsid w:val="00EA1DF9"/>
    <w:rsid w:val="00EA574F"/>
    <w:rsid w:val="00EB6F94"/>
    <w:rsid w:val="00EC33E9"/>
    <w:rsid w:val="00EE42C1"/>
    <w:rsid w:val="00EF029F"/>
    <w:rsid w:val="00F038C3"/>
    <w:rsid w:val="00F05F28"/>
    <w:rsid w:val="00F2036A"/>
    <w:rsid w:val="00F24A9D"/>
    <w:rsid w:val="00F30445"/>
    <w:rsid w:val="00F374A6"/>
    <w:rsid w:val="00F44384"/>
    <w:rsid w:val="00F51277"/>
    <w:rsid w:val="00F51E31"/>
    <w:rsid w:val="00F52FFA"/>
    <w:rsid w:val="00F563CD"/>
    <w:rsid w:val="00F646A9"/>
    <w:rsid w:val="00F66634"/>
    <w:rsid w:val="00F747AA"/>
    <w:rsid w:val="00F82B98"/>
    <w:rsid w:val="00F85F67"/>
    <w:rsid w:val="00F86C38"/>
    <w:rsid w:val="00F96D36"/>
    <w:rsid w:val="00FA5108"/>
    <w:rsid w:val="00FA6D3C"/>
    <w:rsid w:val="00FC4EF1"/>
    <w:rsid w:val="00FE26DD"/>
    <w:rsid w:val="00FE78B4"/>
    <w:rsid w:val="00FF4D4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2C50A350-5B3E-4BEE-AD90-1D9C13C0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400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472C9"/>
    <w:pPr>
      <w:ind w:left="720"/>
      <w:contextualSpacing/>
    </w:pPr>
  </w:style>
  <w:style w:type="character" w:customStyle="1" w:styleId="apple-converted-space">
    <w:name w:val="apple-converted-space"/>
    <w:basedOn w:val="Absatz-Standardschriftart"/>
    <w:rsid w:val="002D7B1D"/>
  </w:style>
  <w:style w:type="character" w:styleId="Hyperlink">
    <w:name w:val="Hyperlink"/>
    <w:basedOn w:val="Absatz-Standardschriftart"/>
    <w:uiPriority w:val="99"/>
    <w:unhideWhenUsed/>
    <w:rsid w:val="00E15667"/>
    <w:rPr>
      <w:color w:val="0563C1" w:themeColor="hyperlink"/>
      <w:u w:val="single"/>
    </w:rPr>
  </w:style>
  <w:style w:type="character" w:customStyle="1" w:styleId="NichtaufgelsteErwhnung1">
    <w:name w:val="Nicht aufgelöste Erwähnung1"/>
    <w:basedOn w:val="Absatz-Standardschriftart"/>
    <w:uiPriority w:val="99"/>
    <w:rsid w:val="00E15667"/>
    <w:rPr>
      <w:color w:val="605E5C"/>
      <w:shd w:val="clear" w:color="auto" w:fill="E1DFDD"/>
    </w:rPr>
  </w:style>
  <w:style w:type="paragraph" w:styleId="StandardWeb">
    <w:name w:val="Normal (Web)"/>
    <w:basedOn w:val="Standard"/>
    <w:uiPriority w:val="99"/>
    <w:semiHidden/>
    <w:unhideWhenUsed/>
    <w:rsid w:val="001E20E7"/>
    <w:pPr>
      <w:spacing w:before="100" w:beforeAutospacing="1" w:after="100" w:afterAutospacing="1"/>
    </w:pPr>
    <w:rPr>
      <w:rFonts w:ascii="Times New Roman" w:eastAsia="Times New Roman" w:hAnsi="Times New Roman" w:cs="Times New Roman"/>
      <w:lang w:eastAsia="de-DE"/>
    </w:rPr>
  </w:style>
  <w:style w:type="character" w:styleId="BesuchterLink">
    <w:name w:val="FollowedHyperlink"/>
    <w:basedOn w:val="Absatz-Standardschriftart"/>
    <w:uiPriority w:val="99"/>
    <w:semiHidden/>
    <w:unhideWhenUsed/>
    <w:rsid w:val="00465A04"/>
    <w:rPr>
      <w:color w:val="954F72" w:themeColor="followedHyperlink"/>
      <w:u w:val="single"/>
    </w:rPr>
  </w:style>
  <w:style w:type="character" w:styleId="Kommentarzeichen">
    <w:name w:val="annotation reference"/>
    <w:basedOn w:val="Absatz-Standardschriftart"/>
    <w:uiPriority w:val="99"/>
    <w:semiHidden/>
    <w:unhideWhenUsed/>
    <w:rsid w:val="001E7E70"/>
    <w:rPr>
      <w:sz w:val="16"/>
      <w:szCs w:val="16"/>
    </w:rPr>
  </w:style>
  <w:style w:type="paragraph" w:styleId="Kommentartext">
    <w:name w:val="annotation text"/>
    <w:basedOn w:val="Standard"/>
    <w:link w:val="KommentartextZchn"/>
    <w:uiPriority w:val="99"/>
    <w:semiHidden/>
    <w:unhideWhenUsed/>
    <w:rsid w:val="001E7E70"/>
    <w:rPr>
      <w:sz w:val="20"/>
      <w:szCs w:val="20"/>
    </w:rPr>
  </w:style>
  <w:style w:type="character" w:customStyle="1" w:styleId="KommentartextZchn">
    <w:name w:val="Kommentartext Zchn"/>
    <w:basedOn w:val="Absatz-Standardschriftart"/>
    <w:link w:val="Kommentartext"/>
    <w:uiPriority w:val="99"/>
    <w:semiHidden/>
    <w:rsid w:val="001E7E70"/>
    <w:rPr>
      <w:sz w:val="20"/>
      <w:szCs w:val="20"/>
    </w:rPr>
  </w:style>
  <w:style w:type="paragraph" w:styleId="Kommentarthema">
    <w:name w:val="annotation subject"/>
    <w:basedOn w:val="Kommentartext"/>
    <w:next w:val="Kommentartext"/>
    <w:link w:val="KommentarthemaZchn"/>
    <w:uiPriority w:val="99"/>
    <w:semiHidden/>
    <w:unhideWhenUsed/>
    <w:rsid w:val="001E7E70"/>
    <w:rPr>
      <w:b/>
      <w:bCs/>
    </w:rPr>
  </w:style>
  <w:style w:type="character" w:customStyle="1" w:styleId="KommentarthemaZchn">
    <w:name w:val="Kommentarthema Zchn"/>
    <w:basedOn w:val="KommentartextZchn"/>
    <w:link w:val="Kommentarthema"/>
    <w:uiPriority w:val="99"/>
    <w:semiHidden/>
    <w:rsid w:val="001E7E70"/>
    <w:rPr>
      <w:b/>
      <w:bCs/>
      <w:sz w:val="20"/>
      <w:szCs w:val="20"/>
    </w:rPr>
  </w:style>
  <w:style w:type="paragraph" w:styleId="Sprechblasentext">
    <w:name w:val="Balloon Text"/>
    <w:basedOn w:val="Standard"/>
    <w:link w:val="SprechblasentextZchn"/>
    <w:uiPriority w:val="99"/>
    <w:semiHidden/>
    <w:unhideWhenUsed/>
    <w:rsid w:val="001E7E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7E70"/>
    <w:rPr>
      <w:rFonts w:ascii="Tahoma" w:hAnsi="Tahoma" w:cs="Tahoma"/>
      <w:sz w:val="16"/>
      <w:szCs w:val="16"/>
    </w:rPr>
  </w:style>
  <w:style w:type="character" w:styleId="Fett">
    <w:name w:val="Strong"/>
    <w:basedOn w:val="Absatz-Standardschriftart"/>
    <w:uiPriority w:val="22"/>
    <w:qFormat/>
    <w:rsid w:val="00275486"/>
    <w:rPr>
      <w:b/>
      <w:bCs/>
    </w:rPr>
  </w:style>
  <w:style w:type="character" w:customStyle="1" w:styleId="NichtaufgelsteErwhnung2">
    <w:name w:val="Nicht aufgelöste Erwähnung2"/>
    <w:basedOn w:val="Absatz-Standardschriftart"/>
    <w:uiPriority w:val="99"/>
    <w:semiHidden/>
    <w:unhideWhenUsed/>
    <w:rsid w:val="00C153C6"/>
    <w:rPr>
      <w:color w:val="605E5C"/>
      <w:shd w:val="clear" w:color="auto" w:fill="E1DFDD"/>
    </w:rPr>
  </w:style>
  <w:style w:type="paragraph" w:styleId="Kopfzeile">
    <w:name w:val="header"/>
    <w:basedOn w:val="Standard"/>
    <w:link w:val="KopfzeileZchn"/>
    <w:uiPriority w:val="99"/>
    <w:unhideWhenUsed/>
    <w:rsid w:val="0005271C"/>
    <w:pPr>
      <w:tabs>
        <w:tab w:val="center" w:pos="4536"/>
        <w:tab w:val="right" w:pos="9072"/>
      </w:tabs>
    </w:pPr>
  </w:style>
  <w:style w:type="character" w:customStyle="1" w:styleId="KopfzeileZchn">
    <w:name w:val="Kopfzeile Zchn"/>
    <w:basedOn w:val="Absatz-Standardschriftart"/>
    <w:link w:val="Kopfzeile"/>
    <w:uiPriority w:val="99"/>
    <w:rsid w:val="0005271C"/>
  </w:style>
  <w:style w:type="paragraph" w:styleId="Fuzeile">
    <w:name w:val="footer"/>
    <w:basedOn w:val="Standard"/>
    <w:link w:val="FuzeileZchn"/>
    <w:uiPriority w:val="99"/>
    <w:unhideWhenUsed/>
    <w:rsid w:val="0005271C"/>
    <w:pPr>
      <w:tabs>
        <w:tab w:val="center" w:pos="4536"/>
        <w:tab w:val="right" w:pos="9072"/>
      </w:tabs>
    </w:pPr>
  </w:style>
  <w:style w:type="character" w:customStyle="1" w:styleId="FuzeileZchn">
    <w:name w:val="Fußzeile Zchn"/>
    <w:basedOn w:val="Absatz-Standardschriftart"/>
    <w:link w:val="Fuzeile"/>
    <w:uiPriority w:val="99"/>
    <w:rsid w:val="00052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342441">
      <w:bodyDiv w:val="1"/>
      <w:marLeft w:val="0"/>
      <w:marRight w:val="0"/>
      <w:marTop w:val="0"/>
      <w:marBottom w:val="0"/>
      <w:divBdr>
        <w:top w:val="none" w:sz="0" w:space="0" w:color="auto"/>
        <w:left w:val="none" w:sz="0" w:space="0" w:color="auto"/>
        <w:bottom w:val="none" w:sz="0" w:space="0" w:color="auto"/>
        <w:right w:val="none" w:sz="0" w:space="0" w:color="auto"/>
      </w:divBdr>
    </w:div>
    <w:div w:id="480539385">
      <w:bodyDiv w:val="1"/>
      <w:marLeft w:val="0"/>
      <w:marRight w:val="0"/>
      <w:marTop w:val="0"/>
      <w:marBottom w:val="0"/>
      <w:divBdr>
        <w:top w:val="none" w:sz="0" w:space="0" w:color="auto"/>
        <w:left w:val="none" w:sz="0" w:space="0" w:color="auto"/>
        <w:bottom w:val="none" w:sz="0" w:space="0" w:color="auto"/>
        <w:right w:val="none" w:sz="0" w:space="0" w:color="auto"/>
      </w:divBdr>
    </w:div>
    <w:div w:id="497503017">
      <w:bodyDiv w:val="1"/>
      <w:marLeft w:val="0"/>
      <w:marRight w:val="0"/>
      <w:marTop w:val="0"/>
      <w:marBottom w:val="0"/>
      <w:divBdr>
        <w:top w:val="none" w:sz="0" w:space="0" w:color="auto"/>
        <w:left w:val="none" w:sz="0" w:space="0" w:color="auto"/>
        <w:bottom w:val="none" w:sz="0" w:space="0" w:color="auto"/>
        <w:right w:val="none" w:sz="0" w:space="0" w:color="auto"/>
      </w:divBdr>
    </w:div>
    <w:div w:id="678317383">
      <w:bodyDiv w:val="1"/>
      <w:marLeft w:val="0"/>
      <w:marRight w:val="0"/>
      <w:marTop w:val="0"/>
      <w:marBottom w:val="0"/>
      <w:divBdr>
        <w:top w:val="none" w:sz="0" w:space="0" w:color="auto"/>
        <w:left w:val="none" w:sz="0" w:space="0" w:color="auto"/>
        <w:bottom w:val="none" w:sz="0" w:space="0" w:color="auto"/>
        <w:right w:val="none" w:sz="0" w:space="0" w:color="auto"/>
      </w:divBdr>
      <w:divsChild>
        <w:div w:id="1189177816">
          <w:marLeft w:val="0"/>
          <w:marRight w:val="0"/>
          <w:marTop w:val="0"/>
          <w:marBottom w:val="0"/>
          <w:divBdr>
            <w:top w:val="none" w:sz="0" w:space="0" w:color="auto"/>
            <w:left w:val="none" w:sz="0" w:space="0" w:color="auto"/>
            <w:bottom w:val="none" w:sz="0" w:space="0" w:color="auto"/>
            <w:right w:val="none" w:sz="0" w:space="0" w:color="auto"/>
          </w:divBdr>
          <w:divsChild>
            <w:div w:id="668563940">
              <w:marLeft w:val="0"/>
              <w:marRight w:val="0"/>
              <w:marTop w:val="0"/>
              <w:marBottom w:val="0"/>
              <w:divBdr>
                <w:top w:val="none" w:sz="0" w:space="0" w:color="auto"/>
                <w:left w:val="none" w:sz="0" w:space="0" w:color="auto"/>
                <w:bottom w:val="none" w:sz="0" w:space="0" w:color="auto"/>
                <w:right w:val="none" w:sz="0" w:space="0" w:color="auto"/>
              </w:divBdr>
              <w:divsChild>
                <w:div w:id="1116408754">
                  <w:marLeft w:val="0"/>
                  <w:marRight w:val="0"/>
                  <w:marTop w:val="0"/>
                  <w:marBottom w:val="0"/>
                  <w:divBdr>
                    <w:top w:val="none" w:sz="0" w:space="0" w:color="auto"/>
                    <w:left w:val="none" w:sz="0" w:space="0" w:color="auto"/>
                    <w:bottom w:val="none" w:sz="0" w:space="0" w:color="auto"/>
                    <w:right w:val="none" w:sz="0" w:space="0" w:color="auto"/>
                  </w:divBdr>
                  <w:divsChild>
                    <w:div w:id="1154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62670">
      <w:bodyDiv w:val="1"/>
      <w:marLeft w:val="0"/>
      <w:marRight w:val="0"/>
      <w:marTop w:val="0"/>
      <w:marBottom w:val="0"/>
      <w:divBdr>
        <w:top w:val="none" w:sz="0" w:space="0" w:color="auto"/>
        <w:left w:val="none" w:sz="0" w:space="0" w:color="auto"/>
        <w:bottom w:val="none" w:sz="0" w:space="0" w:color="auto"/>
        <w:right w:val="none" w:sz="0" w:space="0" w:color="auto"/>
      </w:divBdr>
    </w:div>
    <w:div w:id="824510160">
      <w:bodyDiv w:val="1"/>
      <w:marLeft w:val="0"/>
      <w:marRight w:val="0"/>
      <w:marTop w:val="0"/>
      <w:marBottom w:val="0"/>
      <w:divBdr>
        <w:top w:val="none" w:sz="0" w:space="0" w:color="auto"/>
        <w:left w:val="none" w:sz="0" w:space="0" w:color="auto"/>
        <w:bottom w:val="none" w:sz="0" w:space="0" w:color="auto"/>
        <w:right w:val="none" w:sz="0" w:space="0" w:color="auto"/>
      </w:divBdr>
      <w:divsChild>
        <w:div w:id="622079367">
          <w:marLeft w:val="0"/>
          <w:marRight w:val="0"/>
          <w:marTop w:val="0"/>
          <w:marBottom w:val="0"/>
          <w:divBdr>
            <w:top w:val="none" w:sz="0" w:space="0" w:color="auto"/>
            <w:left w:val="none" w:sz="0" w:space="0" w:color="auto"/>
            <w:bottom w:val="none" w:sz="0" w:space="0" w:color="auto"/>
            <w:right w:val="none" w:sz="0" w:space="0" w:color="auto"/>
          </w:divBdr>
          <w:divsChild>
            <w:div w:id="466437432">
              <w:marLeft w:val="0"/>
              <w:marRight w:val="0"/>
              <w:marTop w:val="0"/>
              <w:marBottom w:val="0"/>
              <w:divBdr>
                <w:top w:val="none" w:sz="0" w:space="0" w:color="auto"/>
                <w:left w:val="none" w:sz="0" w:space="0" w:color="auto"/>
                <w:bottom w:val="none" w:sz="0" w:space="0" w:color="auto"/>
                <w:right w:val="none" w:sz="0" w:space="0" w:color="auto"/>
              </w:divBdr>
              <w:divsChild>
                <w:div w:id="955872742">
                  <w:marLeft w:val="0"/>
                  <w:marRight w:val="0"/>
                  <w:marTop w:val="0"/>
                  <w:marBottom w:val="0"/>
                  <w:divBdr>
                    <w:top w:val="none" w:sz="0" w:space="0" w:color="auto"/>
                    <w:left w:val="none" w:sz="0" w:space="0" w:color="auto"/>
                    <w:bottom w:val="none" w:sz="0" w:space="0" w:color="auto"/>
                    <w:right w:val="none" w:sz="0" w:space="0" w:color="auto"/>
                  </w:divBdr>
                  <w:divsChild>
                    <w:div w:id="147004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829436">
      <w:bodyDiv w:val="1"/>
      <w:marLeft w:val="0"/>
      <w:marRight w:val="0"/>
      <w:marTop w:val="0"/>
      <w:marBottom w:val="0"/>
      <w:divBdr>
        <w:top w:val="none" w:sz="0" w:space="0" w:color="auto"/>
        <w:left w:val="none" w:sz="0" w:space="0" w:color="auto"/>
        <w:bottom w:val="none" w:sz="0" w:space="0" w:color="auto"/>
        <w:right w:val="none" w:sz="0" w:space="0" w:color="auto"/>
      </w:divBdr>
    </w:div>
    <w:div w:id="916980206">
      <w:bodyDiv w:val="1"/>
      <w:marLeft w:val="0"/>
      <w:marRight w:val="0"/>
      <w:marTop w:val="0"/>
      <w:marBottom w:val="0"/>
      <w:divBdr>
        <w:top w:val="none" w:sz="0" w:space="0" w:color="auto"/>
        <w:left w:val="none" w:sz="0" w:space="0" w:color="auto"/>
        <w:bottom w:val="none" w:sz="0" w:space="0" w:color="auto"/>
        <w:right w:val="none" w:sz="0" w:space="0" w:color="auto"/>
      </w:divBdr>
    </w:div>
    <w:div w:id="1647971744">
      <w:bodyDiv w:val="1"/>
      <w:marLeft w:val="0"/>
      <w:marRight w:val="0"/>
      <w:marTop w:val="0"/>
      <w:marBottom w:val="0"/>
      <w:divBdr>
        <w:top w:val="none" w:sz="0" w:space="0" w:color="auto"/>
        <w:left w:val="none" w:sz="0" w:space="0" w:color="auto"/>
        <w:bottom w:val="none" w:sz="0" w:space="0" w:color="auto"/>
        <w:right w:val="none" w:sz="0" w:space="0" w:color="auto"/>
      </w:divBdr>
    </w:div>
    <w:div w:id="1660571023">
      <w:bodyDiv w:val="1"/>
      <w:marLeft w:val="0"/>
      <w:marRight w:val="0"/>
      <w:marTop w:val="0"/>
      <w:marBottom w:val="0"/>
      <w:divBdr>
        <w:top w:val="none" w:sz="0" w:space="0" w:color="auto"/>
        <w:left w:val="none" w:sz="0" w:space="0" w:color="auto"/>
        <w:bottom w:val="none" w:sz="0" w:space="0" w:color="auto"/>
        <w:right w:val="none" w:sz="0" w:space="0" w:color="auto"/>
      </w:divBdr>
    </w:div>
    <w:div w:id="1694384657">
      <w:bodyDiv w:val="1"/>
      <w:marLeft w:val="0"/>
      <w:marRight w:val="0"/>
      <w:marTop w:val="0"/>
      <w:marBottom w:val="0"/>
      <w:divBdr>
        <w:top w:val="none" w:sz="0" w:space="0" w:color="auto"/>
        <w:left w:val="none" w:sz="0" w:space="0" w:color="auto"/>
        <w:bottom w:val="none" w:sz="0" w:space="0" w:color="auto"/>
        <w:right w:val="none" w:sz="0" w:space="0" w:color="auto"/>
      </w:divBdr>
    </w:div>
    <w:div w:id="1726219702">
      <w:bodyDiv w:val="1"/>
      <w:marLeft w:val="0"/>
      <w:marRight w:val="0"/>
      <w:marTop w:val="0"/>
      <w:marBottom w:val="0"/>
      <w:divBdr>
        <w:top w:val="none" w:sz="0" w:space="0" w:color="auto"/>
        <w:left w:val="none" w:sz="0" w:space="0" w:color="auto"/>
        <w:bottom w:val="none" w:sz="0" w:space="0" w:color="auto"/>
        <w:right w:val="none" w:sz="0" w:space="0" w:color="auto"/>
      </w:divBdr>
    </w:div>
    <w:div w:id="211243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entwicklung.nrw.de/unterstuetzungsportal/index.php" TargetMode="External"/><Relationship Id="rId13" Type="http://schemas.openxmlformats.org/officeDocument/2006/relationships/hyperlink" Target="https://www.stiftung-mercator.de/media/downloads/3_Publikationen/2018/Juli/Lernpotenziale_2018_Heft_4.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anztaegig-lernen.de" TargetMode="External"/><Relationship Id="rId12" Type="http://schemas.openxmlformats.org/officeDocument/2006/relationships/hyperlink" Target="http://www.hessen.ganztaegig-lernen.de/sites/default/files/2009_SAG_Broschuere_Coaching_Doppelseiten.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tiftung-mercator.de/media/downloads/3_Publikationen/2018/Juli/Lernpotenziale_2018_Heft_4.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hulentwicklung.nrw.de/f/upload/fortbildung/FeedbackBeratung/A_2_16_e.pdf" TargetMode="External"/><Relationship Id="rId5" Type="http://schemas.openxmlformats.org/officeDocument/2006/relationships/footnotes" Target="footnotes.xml"/><Relationship Id="rId15" Type="http://schemas.openxmlformats.org/officeDocument/2006/relationships/hyperlink" Target="Lernpotenziale_Heft_4.pdf" TargetMode="External"/><Relationship Id="rId10" Type="http://schemas.openxmlformats.org/officeDocument/2006/relationships/hyperlink" Target="https://li.hamburg.de/contentblob/4294632/8789b49422c222086bf2d10e0cb9a311/data/download-pdf-lerncoachingtagung-vortragsskript-prof-hameyer.pdf;jsessionid=61CFADDAE73A82EAFC20828772CDF3A8.liveWorker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zukunftsschulen-nrw.de/das-netzwerk/zukunftsschulen/netzwerke/" TargetMode="External"/><Relationship Id="rId14" Type="http://schemas.openxmlformats.org/officeDocument/2006/relationships/hyperlink" Target="https://www.lernen-im-ganztag.de/fileadmin/user_upload/Themen/WEB_Lerncoaching_Leit-IDEE_LiGa.pdf"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qua-lis.nrw.de/" TargetMode="External"/><Relationship Id="rId1" Type="http://schemas.openxmlformats.org/officeDocument/2006/relationships/hyperlink" Target="https://creativecommons.org/licenses/by-sa/4.0/deed.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1368</Words>
  <Characters>10772</Characters>
  <DocSecurity>0</DocSecurity>
  <Lines>219</Lines>
  <Paragraphs>77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2019-08-26T06:35:00Z</dcterms:created>
  <dcterms:modified xsi:type="dcterms:W3CDTF">2020-09-21T13:40:00Z</dcterms:modified>
</cp:coreProperties>
</file>