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66" w:rsidRDefault="00325766" w:rsidP="000C506C">
      <w:pPr>
        <w:rPr>
          <w:b/>
        </w:rPr>
      </w:pPr>
    </w:p>
    <w:p w:rsidR="00D17FF5" w:rsidRPr="00325766" w:rsidRDefault="000C506C" w:rsidP="000C506C">
      <w:pPr>
        <w:rPr>
          <w:sz w:val="28"/>
          <w:szCs w:val="28"/>
        </w:rPr>
      </w:pPr>
      <w:r w:rsidRPr="00325766">
        <w:rPr>
          <w:b/>
          <w:sz w:val="28"/>
          <w:szCs w:val="28"/>
        </w:rPr>
        <w:t xml:space="preserve">Gemeinsamkeiten und Besonderheiten </w:t>
      </w:r>
      <w:r w:rsidR="00301DBB">
        <w:rPr>
          <w:b/>
          <w:sz w:val="28"/>
          <w:szCs w:val="28"/>
        </w:rPr>
        <w:t>ausgewählter</w:t>
      </w:r>
      <w:r w:rsidRPr="00325766">
        <w:rPr>
          <w:b/>
          <w:sz w:val="28"/>
          <w:szCs w:val="28"/>
        </w:rPr>
        <w:t xml:space="preserve"> Schulbeispiele</w:t>
      </w:r>
      <w:r w:rsidR="00325766">
        <w:rPr>
          <w:b/>
          <w:sz w:val="28"/>
          <w:szCs w:val="28"/>
        </w:rPr>
        <w:t xml:space="preserve"> </w:t>
      </w:r>
      <w:r w:rsidR="004F7B75">
        <w:rPr>
          <w:b/>
          <w:sz w:val="28"/>
          <w:szCs w:val="28"/>
        </w:rPr>
        <w:t>hinsichtlich ihrer Lernzeitenkonzepte</w:t>
      </w:r>
    </w:p>
    <w:p w:rsidR="0092035A" w:rsidRDefault="00117772" w:rsidP="0092035A">
      <w:r>
        <w:t xml:space="preserve">Zur Orientierung </w:t>
      </w:r>
      <w:r w:rsidR="0092035A">
        <w:t>sind</w:t>
      </w:r>
      <w:r>
        <w:t xml:space="preserve"> im Folgenden wesentliche </w:t>
      </w:r>
      <w:r w:rsidR="00992DC4">
        <w:t xml:space="preserve">Aspekte </w:t>
      </w:r>
      <w:r w:rsidR="00A81419">
        <w:t>ausgewählter schulischer</w:t>
      </w:r>
      <w:r w:rsidR="00992DC4">
        <w:t xml:space="preserve"> Konzepte</w:t>
      </w:r>
      <w:r w:rsidR="00FE338E">
        <w:t xml:space="preserve"> zusammengestellt</w:t>
      </w:r>
      <w:r w:rsidR="0092035A">
        <w:t xml:space="preserve">, die die Gemeinsamkeiten, aber auch jeweiligen Besonderheiten </w:t>
      </w:r>
      <w:r w:rsidR="00A81419">
        <w:t>dieser</w:t>
      </w:r>
      <w:r w:rsidR="0092035A">
        <w:t xml:space="preserve"> Schulbeispiele verdeutlichen</w:t>
      </w:r>
      <w:r w:rsidR="00992DC4">
        <w:t>.</w:t>
      </w:r>
      <w:r w:rsidR="0027634F">
        <w:t xml:space="preserve"> </w:t>
      </w:r>
      <w:r w:rsidR="0092035A">
        <w:t xml:space="preserve">An </w:t>
      </w:r>
      <w:r w:rsidR="009D4323">
        <w:t xml:space="preserve">den </w:t>
      </w:r>
      <w:r w:rsidR="0092035A">
        <w:t>Schulen ist das Projekt über mehrere Jahre entwickelt und über das zunächst geplante Vorhaben hinaus erweitert worden.</w:t>
      </w:r>
    </w:p>
    <w:p w:rsidR="00117772" w:rsidRDefault="0027634F" w:rsidP="00D17FF5">
      <w:r>
        <w:t>Die Materialangaben beziehen sich auf die</w:t>
      </w:r>
      <w:r w:rsidR="00A81419">
        <w:t>jenigen</w:t>
      </w:r>
      <w:r w:rsidR="002A355D">
        <w:t>, die im Bereich „Aus der Praxis“ im Materialpool der jeweiligen</w:t>
      </w:r>
      <w:bookmarkStart w:id="0" w:name="_GoBack"/>
      <w:bookmarkEnd w:id="0"/>
      <w:r w:rsidR="002A355D">
        <w:t xml:space="preserve"> Schulen zu finden sind</w:t>
      </w:r>
      <w:r>
        <w:t>.</w:t>
      </w:r>
    </w:p>
    <w:p w:rsidR="00333218" w:rsidRPr="00E243FA" w:rsidRDefault="004F7B75" w:rsidP="003C6537">
      <w:pPr>
        <w:rPr>
          <w:b/>
          <w:sz w:val="24"/>
          <w:szCs w:val="24"/>
        </w:rPr>
      </w:pPr>
      <w:r w:rsidRPr="004F7B75">
        <w:rPr>
          <w:b/>
          <w:sz w:val="24"/>
          <w:szCs w:val="24"/>
        </w:rPr>
        <w:t>Zentrale</w:t>
      </w:r>
      <w:r w:rsidR="003D5010" w:rsidRPr="004F7B75">
        <w:rPr>
          <w:b/>
          <w:sz w:val="24"/>
          <w:szCs w:val="24"/>
        </w:rPr>
        <w:t xml:space="preserve"> Aspekte der Lernzeiten</w:t>
      </w:r>
      <w:r w:rsidRPr="004F7B75">
        <w:rPr>
          <w:b/>
          <w:sz w:val="24"/>
          <w:szCs w:val="24"/>
        </w:rPr>
        <w:t>konzepte der Schulen</w:t>
      </w:r>
      <w:r w:rsidR="003D5010" w:rsidRPr="004F7B75">
        <w:rPr>
          <w:b/>
          <w:sz w:val="24"/>
          <w:szCs w:val="24"/>
        </w:rPr>
        <w:t xml:space="preserve">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21"/>
        <w:gridCol w:w="3146"/>
        <w:gridCol w:w="3146"/>
        <w:gridCol w:w="3146"/>
        <w:gridCol w:w="3144"/>
      </w:tblGrid>
      <w:tr w:rsidR="002A355D" w:rsidRPr="004F7B75" w:rsidTr="002A355D">
        <w:trPr>
          <w:tblHeader/>
        </w:trPr>
        <w:tc>
          <w:tcPr>
            <w:tcW w:w="641" w:type="pct"/>
            <w:shd w:val="clear" w:color="auto" w:fill="F2F2F2" w:themeFill="background1" w:themeFillShade="F2"/>
          </w:tcPr>
          <w:p w:rsidR="002A355D" w:rsidRPr="004F7B75" w:rsidRDefault="002A355D" w:rsidP="003C6537">
            <w:pPr>
              <w:rPr>
                <w:b/>
                <w:sz w:val="24"/>
                <w:szCs w:val="24"/>
              </w:rPr>
            </w:pPr>
            <w:r w:rsidRPr="004F7B75">
              <w:rPr>
                <w:b/>
                <w:sz w:val="24"/>
                <w:szCs w:val="24"/>
              </w:rPr>
              <w:t>Aspekte der Lernzeiten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A81419" w:rsidRDefault="002A355D" w:rsidP="003C6537">
            <w:pPr>
              <w:rPr>
                <w:b/>
                <w:sz w:val="24"/>
                <w:szCs w:val="24"/>
              </w:rPr>
            </w:pPr>
            <w:r w:rsidRPr="004F7B75">
              <w:rPr>
                <w:b/>
                <w:sz w:val="24"/>
                <w:szCs w:val="24"/>
              </w:rPr>
              <w:t xml:space="preserve">Graf-Engelbert-Schule </w:t>
            </w:r>
          </w:p>
          <w:p w:rsidR="002A355D" w:rsidRDefault="002A355D" w:rsidP="003C6537">
            <w:pPr>
              <w:rPr>
                <w:b/>
                <w:sz w:val="24"/>
                <w:szCs w:val="24"/>
              </w:rPr>
            </w:pPr>
            <w:r w:rsidRPr="004F7B75">
              <w:rPr>
                <w:b/>
                <w:sz w:val="24"/>
                <w:szCs w:val="24"/>
              </w:rPr>
              <w:t>Bochum</w:t>
            </w:r>
            <w:r>
              <w:rPr>
                <w:b/>
                <w:sz w:val="24"/>
                <w:szCs w:val="24"/>
              </w:rPr>
              <w:t>:</w:t>
            </w:r>
          </w:p>
          <w:p w:rsidR="002A355D" w:rsidRPr="00992DC4" w:rsidRDefault="002A355D" w:rsidP="00992DC4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Eingangsdiagnostik und anschließende Binnendifferenzierung in Lernzeiten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2A355D" w:rsidRPr="00993509" w:rsidRDefault="002A355D" w:rsidP="00333218">
            <w:pPr>
              <w:rPr>
                <w:b/>
                <w:sz w:val="24"/>
                <w:szCs w:val="24"/>
              </w:rPr>
            </w:pPr>
            <w:r w:rsidRPr="00993509">
              <w:rPr>
                <w:b/>
                <w:sz w:val="24"/>
                <w:szCs w:val="24"/>
              </w:rPr>
              <w:t>Städt. Gymnasium Straelen:</w:t>
            </w:r>
          </w:p>
          <w:p w:rsidR="002A355D" w:rsidRPr="00DA306F" w:rsidRDefault="002A355D" w:rsidP="00992DC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Freie Übungszeit (FÜZ) - </w:t>
            </w:r>
            <w:r w:rsidRPr="00DA306F">
              <w:rPr>
                <w:rFonts w:cstheme="minorHAnsi"/>
                <w:b/>
              </w:rPr>
              <w:t>Individuelles, selbstgesteuertes Lernen in Klasse 5 und 6</w:t>
            </w:r>
          </w:p>
          <w:p w:rsidR="002A355D" w:rsidRPr="00392A82" w:rsidRDefault="002A355D" w:rsidP="00333218">
            <w:pPr>
              <w:rPr>
                <w:b/>
                <w:sz w:val="24"/>
                <w:szCs w:val="24"/>
                <w:highlight w:val="yellow"/>
              </w:rPr>
            </w:pPr>
          </w:p>
          <w:p w:rsidR="002A355D" w:rsidRPr="00392A82" w:rsidRDefault="002A355D" w:rsidP="003C653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0" w:type="pct"/>
            <w:shd w:val="clear" w:color="auto" w:fill="F2F2F2" w:themeFill="background1" w:themeFillShade="F2"/>
          </w:tcPr>
          <w:p w:rsidR="002A355D" w:rsidRDefault="002A355D" w:rsidP="003C6537">
            <w:pPr>
              <w:rPr>
                <w:b/>
                <w:sz w:val="24"/>
                <w:szCs w:val="24"/>
              </w:rPr>
            </w:pPr>
            <w:r w:rsidRPr="004F7B75">
              <w:rPr>
                <w:b/>
                <w:sz w:val="24"/>
                <w:szCs w:val="24"/>
              </w:rPr>
              <w:t>Haranni-Gymnasium Herne</w:t>
            </w:r>
            <w:r>
              <w:rPr>
                <w:b/>
                <w:sz w:val="24"/>
                <w:szCs w:val="24"/>
              </w:rPr>
              <w:t>:</w:t>
            </w:r>
          </w:p>
          <w:p w:rsidR="002A355D" w:rsidRDefault="002A355D" w:rsidP="00992DC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Ein Konzept für die Gestaltung der Lernzeiten im Jahrgang 5 und 6 </w:t>
            </w:r>
          </w:p>
          <w:p w:rsidR="002A355D" w:rsidRPr="00992DC4" w:rsidRDefault="002A355D" w:rsidP="00992DC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Ein Konzept für ein offenes Lernzeitenband ab Jahrgang 7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2A355D" w:rsidRPr="00685C16" w:rsidRDefault="002A355D" w:rsidP="003C6537">
            <w:pPr>
              <w:rPr>
                <w:b/>
                <w:sz w:val="24"/>
                <w:szCs w:val="24"/>
              </w:rPr>
            </w:pPr>
            <w:r w:rsidRPr="00685C16">
              <w:rPr>
                <w:b/>
                <w:sz w:val="24"/>
                <w:szCs w:val="24"/>
              </w:rPr>
              <w:t>Märkisches Gymnasium Hamm:</w:t>
            </w:r>
          </w:p>
          <w:p w:rsidR="002A355D" w:rsidRPr="00392A82" w:rsidRDefault="002A355D" w:rsidP="003C6537">
            <w:pPr>
              <w:rPr>
                <w:b/>
                <w:sz w:val="24"/>
                <w:szCs w:val="24"/>
                <w:highlight w:val="yellow"/>
              </w:rPr>
            </w:pPr>
            <w:r w:rsidRPr="003633AD">
              <w:rPr>
                <w:rFonts w:ascii="Calibri" w:hAnsi="Calibri"/>
                <w:b/>
              </w:rPr>
              <w:t>Lernzeitenband in der Sekundarstufe I</w:t>
            </w:r>
          </w:p>
        </w:tc>
      </w:tr>
      <w:tr w:rsidR="002A355D" w:rsidTr="002A355D">
        <w:tc>
          <w:tcPr>
            <w:tcW w:w="641" w:type="pct"/>
          </w:tcPr>
          <w:p w:rsidR="002A355D" w:rsidRPr="004F7B75" w:rsidRDefault="002A355D" w:rsidP="00BB27D4">
            <w:pPr>
              <w:pStyle w:val="Standard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color w:val="000000" w:themeColor="text1"/>
                <w:kern w:val="24"/>
              </w:rPr>
            </w:pPr>
            <w:r w:rsidRPr="004F7B75">
              <w:rPr>
                <w:rFonts w:asciiTheme="minorHAnsi" w:eastAsiaTheme="minorEastAsia" w:hAnsiTheme="minorHAnsi" w:cstheme="minorBidi"/>
                <w:b/>
                <w:color w:val="000000" w:themeColor="text1"/>
                <w:kern w:val="24"/>
              </w:rPr>
              <w:t>Teil der Schul</w:t>
            </w:r>
            <w:r w:rsidR="00A81419">
              <w:rPr>
                <w:rFonts w:asciiTheme="minorHAnsi" w:eastAsiaTheme="minorEastAsia" w:hAnsiTheme="minorHAnsi" w:cstheme="minorBidi"/>
                <w:b/>
                <w:color w:val="000000" w:themeColor="text1"/>
                <w:kern w:val="24"/>
              </w:rPr>
              <w:t>-</w:t>
            </w:r>
            <w:r w:rsidRPr="004F7B75">
              <w:rPr>
                <w:rFonts w:asciiTheme="minorHAnsi" w:eastAsiaTheme="minorEastAsia" w:hAnsiTheme="minorHAnsi" w:cstheme="minorBidi"/>
                <w:b/>
                <w:color w:val="000000" w:themeColor="text1"/>
                <w:kern w:val="24"/>
              </w:rPr>
              <w:t>programmarbeit</w:t>
            </w:r>
          </w:p>
          <w:p w:rsidR="002A355D" w:rsidRPr="004F7B75" w:rsidRDefault="002A355D" w:rsidP="00BB27D4">
            <w:pPr>
              <w:rPr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2A355D" w:rsidRDefault="002A355D" w:rsidP="00E34ED1">
            <w:r w:rsidRPr="00ED7870">
              <w:t xml:space="preserve">Aus einer </w:t>
            </w:r>
            <w:r>
              <w:t xml:space="preserve">freiwilligen </w:t>
            </w:r>
            <w:r w:rsidRPr="00ED7870">
              <w:t>Erprobung</w:t>
            </w:r>
            <w:r>
              <w:t xml:space="preserve"> des Konzepts durch wenige Fachkolleginnen und -kollegen ist eine verbindliche Verabredung für die fünften Klassen entstanden.</w:t>
            </w:r>
          </w:p>
          <w:p w:rsidR="002A355D" w:rsidRPr="004F7B75" w:rsidRDefault="002A355D" w:rsidP="00BB27D4"/>
        </w:tc>
        <w:tc>
          <w:tcPr>
            <w:tcW w:w="1090" w:type="pct"/>
          </w:tcPr>
          <w:p w:rsidR="002A355D" w:rsidRPr="00E7789B" w:rsidRDefault="002A355D" w:rsidP="00951ED1">
            <w:r w:rsidRPr="00E7789B">
              <w:t xml:space="preserve">Aus der Lernen lernen-Stunde ist nach einer Erprobung und zunächst einem ersten Konzept für die Jahrgangsstufe 5 ein </w:t>
            </w:r>
            <w:r>
              <w:t>Lernzeiten-</w:t>
            </w:r>
            <w:r w:rsidRPr="00E7789B">
              <w:t xml:space="preserve">Konzept für die gesamte Erprobungsstufe geworden. </w:t>
            </w:r>
          </w:p>
          <w:p w:rsidR="002A355D" w:rsidRPr="00392A82" w:rsidRDefault="002A355D" w:rsidP="00BB27D4">
            <w:pPr>
              <w:rPr>
                <w:highlight w:val="yellow"/>
              </w:rPr>
            </w:pPr>
          </w:p>
        </w:tc>
        <w:tc>
          <w:tcPr>
            <w:tcW w:w="1090" w:type="pct"/>
          </w:tcPr>
          <w:p w:rsidR="002A355D" w:rsidRDefault="002A355D" w:rsidP="00BB27D4">
            <w:pPr>
              <w:rPr>
                <w:rFonts w:cstheme="minorHAnsi"/>
              </w:rPr>
            </w:pPr>
            <w:r w:rsidRPr="004F7B75">
              <w:rPr>
                <w:rFonts w:cstheme="minorHAnsi"/>
              </w:rPr>
              <w:t>Lernzeiten sind ein wichtiger Baustein im Ganztagsschulkonzept des Haranni-Gymnasiums.</w:t>
            </w:r>
          </w:p>
          <w:p w:rsidR="002A355D" w:rsidRPr="004F7B75" w:rsidRDefault="002A355D" w:rsidP="00256791">
            <w:r>
              <w:rPr>
                <w:rFonts w:cstheme="minorHAnsi"/>
              </w:rPr>
              <w:t>Die Lernzeiten werden für eine Weiterentwicklung der Konzeption regelmäßig dokumentiert und evaluiert (M10 bis M13</w:t>
            </w:r>
            <w:r w:rsidRPr="004F7B75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  <w:tc>
          <w:tcPr>
            <w:tcW w:w="1090" w:type="pct"/>
          </w:tcPr>
          <w:p w:rsidR="002A355D" w:rsidRPr="00256791" w:rsidRDefault="002A355D" w:rsidP="008837EB">
            <w:r w:rsidRPr="00256791">
              <w:t>Aus einer Erprobung und zunächst einem</w:t>
            </w:r>
            <w:r w:rsidR="00A81419">
              <w:t xml:space="preserve">  </w:t>
            </w:r>
            <w:r w:rsidRPr="00256791">
              <w:t>ersten Lernzeitenkonzept für die Erprobungsstufe ist über einen Zeitraum von fünf Jahren ein Konzept für die gesamte Seku</w:t>
            </w:r>
            <w:r>
              <w:t>ndarstufe I geworden</w:t>
            </w:r>
            <w:r w:rsidR="00A81419">
              <w:t xml:space="preserve">  </w:t>
            </w:r>
            <w:r>
              <w:t>(vgl. M02</w:t>
            </w:r>
            <w:r w:rsidRPr="00256791">
              <w:t>).</w:t>
            </w:r>
          </w:p>
        </w:tc>
      </w:tr>
      <w:tr w:rsidR="002A355D" w:rsidTr="002A355D">
        <w:tc>
          <w:tcPr>
            <w:tcW w:w="641" w:type="pct"/>
          </w:tcPr>
          <w:p w:rsidR="002A355D" w:rsidRPr="004F7B75" w:rsidRDefault="002A355D" w:rsidP="00BB27D4">
            <w:pPr>
              <w:pStyle w:val="Standard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color w:val="000000" w:themeColor="text1"/>
                <w:kern w:val="24"/>
              </w:rPr>
            </w:pPr>
            <w:r w:rsidRPr="004F7B75">
              <w:rPr>
                <w:rFonts w:asciiTheme="minorHAnsi" w:eastAsiaTheme="minorEastAsia" w:hAnsiTheme="minorHAnsi" w:cstheme="minorBidi"/>
                <w:b/>
                <w:color w:val="000000" w:themeColor="text1"/>
                <w:kern w:val="24"/>
              </w:rPr>
              <w:t xml:space="preserve">Organisation </w:t>
            </w: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kern w:val="24"/>
              </w:rPr>
              <w:t xml:space="preserve">und Gestaltung </w:t>
            </w:r>
            <w:r w:rsidRPr="004F7B75">
              <w:rPr>
                <w:rFonts w:asciiTheme="minorHAnsi" w:eastAsiaTheme="minorEastAsia" w:hAnsiTheme="minorHAnsi" w:cstheme="minorBidi"/>
                <w:b/>
                <w:color w:val="000000" w:themeColor="text1"/>
                <w:kern w:val="24"/>
              </w:rPr>
              <w:t>von Lernzeiten</w:t>
            </w:r>
          </w:p>
          <w:p w:rsidR="002A355D" w:rsidRPr="004F7B75" w:rsidRDefault="002A355D" w:rsidP="00BB27D4">
            <w:pPr>
              <w:rPr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2A355D" w:rsidRDefault="002A355D" w:rsidP="00BB27D4">
            <w:r>
              <w:t>Im Jahrgang 5 ist jeweils eine Stunde Mathematik, Deutsch und Englisch verbindliche Lernzeitenstunde, die im Stundenplan ausgewiesen wird.</w:t>
            </w:r>
          </w:p>
          <w:p w:rsidR="002A355D" w:rsidRDefault="002A355D" w:rsidP="00BB27D4">
            <w:r>
              <w:lastRenderedPageBreak/>
              <w:t xml:space="preserve">Die </w:t>
            </w:r>
            <w:r w:rsidRPr="004F7B75">
              <w:t>Lernzei</w:t>
            </w:r>
            <w:r>
              <w:t>ten folgen bestimmten Regeln (M02</w:t>
            </w:r>
            <w:r w:rsidRPr="004F7B75">
              <w:t>) und sind an die Diagnose zu Beginn</w:t>
            </w:r>
            <w:r>
              <w:t xml:space="preserve"> des Schuljahres angelehnt (M01).</w:t>
            </w:r>
            <w:r w:rsidRPr="004F7B75">
              <w:t xml:space="preserve"> Die Fachschaften Englisch und Deutsch arbeiten mit dem Material, das zu ihren Lehrwerken passt.</w:t>
            </w:r>
          </w:p>
          <w:p w:rsidR="002A355D" w:rsidRDefault="002A355D" w:rsidP="00BB27D4">
            <w:r>
              <w:t>Die konkrete Gestaltung der Lernzeiten, z. B. hinsichtlich der Materialauswahl oder Sozialformen, liegt in der Verantwortung der Fachlehrkräfte.</w:t>
            </w:r>
          </w:p>
          <w:p w:rsidR="002A355D" w:rsidRPr="004F7B75" w:rsidRDefault="002A355D" w:rsidP="007D74C2"/>
        </w:tc>
        <w:tc>
          <w:tcPr>
            <w:tcW w:w="1090" w:type="pct"/>
          </w:tcPr>
          <w:p w:rsidR="002A355D" w:rsidRDefault="002A355D" w:rsidP="00E7789B">
            <w:r>
              <w:lastRenderedPageBreak/>
              <w:t>Für die</w:t>
            </w:r>
            <w:r w:rsidRPr="00E7789B">
              <w:t xml:space="preserve"> FÜZ-Stunden</w:t>
            </w:r>
            <w:r>
              <w:t>, die sich auf alle Fächer beziehen,</w:t>
            </w:r>
            <w:r w:rsidR="00A81419">
              <w:t xml:space="preserve"> </w:t>
            </w:r>
            <w:r>
              <w:t xml:space="preserve">werden </w:t>
            </w:r>
            <w:r w:rsidRPr="00E7789B">
              <w:t>Ergänzungsstunden</w:t>
            </w:r>
            <w:r>
              <w:t xml:space="preserve"> genutzt</w:t>
            </w:r>
            <w:r w:rsidRPr="00E7789B">
              <w:t xml:space="preserve">, teilweise werden Anteile des Fachunterrichts für diese Form </w:t>
            </w:r>
            <w:r w:rsidRPr="00E7789B">
              <w:lastRenderedPageBreak/>
              <w:t>des Arbeitens reserviert, auch der Vertretungs</w:t>
            </w:r>
            <w:r w:rsidRPr="00E7789B">
              <w:softHyphen/>
              <w:t>unterricht kann auf die Materialien der FÜ</w:t>
            </w:r>
            <w:r>
              <w:t>Z-Stunden zurückgreifen (vgl. M0</w:t>
            </w:r>
            <w:r w:rsidRPr="00E7789B">
              <w:t>1).</w:t>
            </w:r>
          </w:p>
          <w:p w:rsidR="002A355D" w:rsidRPr="00E7789B" w:rsidRDefault="002A355D" w:rsidP="00E7789B">
            <w:r w:rsidRPr="00E7789B">
              <w:t>Die FÜZ-Stunden sind fest im Stundenplan der Jahrgangsstufen 5 und 6 sowie im Raumbelegungspla</w:t>
            </w:r>
            <w:r>
              <w:t>n verankert (vgl. M0</w:t>
            </w:r>
            <w:r w:rsidRPr="00E7789B">
              <w:t>1).</w:t>
            </w:r>
          </w:p>
          <w:p w:rsidR="002A355D" w:rsidRDefault="002A355D" w:rsidP="00E7789B">
            <w:r w:rsidRPr="00E7789B">
              <w:t xml:space="preserve">Die </w:t>
            </w:r>
            <w:r>
              <w:t>Schülerinnen und Schüler</w:t>
            </w:r>
            <w:r w:rsidRPr="00E7789B">
              <w:t xml:space="preserve"> erhalten jeweils zu Beginn eines Schuljahres eine Einführung zu Arbeitsweisen, Methoden und Möglichkeiten der Selbstorganisation (Ler</w:t>
            </w:r>
            <w:r>
              <w:t>nen lernen, vgl. M0</w:t>
            </w:r>
            <w:r w:rsidRPr="00E7789B">
              <w:t>1).</w:t>
            </w:r>
          </w:p>
          <w:p w:rsidR="002A355D" w:rsidRPr="00E7789B" w:rsidRDefault="002A355D" w:rsidP="00E7789B">
            <w:r>
              <w:t>Die Lernzeiten werden durch die jeweiligen Klassenlehrkräfte begleitet.</w:t>
            </w:r>
          </w:p>
          <w:p w:rsidR="002A355D" w:rsidRDefault="002A355D" w:rsidP="00BB27D4">
            <w:pPr>
              <w:rPr>
                <w:highlight w:val="yellow"/>
              </w:rPr>
            </w:pPr>
          </w:p>
          <w:p w:rsidR="002A355D" w:rsidRPr="00392A82" w:rsidRDefault="002A355D" w:rsidP="00BB27D4">
            <w:pPr>
              <w:rPr>
                <w:highlight w:val="yellow"/>
              </w:rPr>
            </w:pPr>
          </w:p>
        </w:tc>
        <w:tc>
          <w:tcPr>
            <w:tcW w:w="1090" w:type="pct"/>
          </w:tcPr>
          <w:p w:rsidR="002A355D" w:rsidRDefault="002A355D" w:rsidP="00A0735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Die Lernzeiten</w:t>
            </w:r>
            <w:r w:rsidRPr="004F7B75">
              <w:rPr>
                <w:rFonts w:cstheme="minorHAnsi"/>
              </w:rPr>
              <w:t xml:space="preserve"> sind fest im Stundenplan der Jahrgangsstufen 5 und 6 </w:t>
            </w:r>
            <w:r>
              <w:rPr>
                <w:rFonts w:cstheme="minorHAnsi"/>
              </w:rPr>
              <w:t xml:space="preserve">am Vor- und Nachmittag </w:t>
            </w:r>
            <w:r w:rsidRPr="004F7B75">
              <w:rPr>
                <w:rFonts w:cstheme="minorHAnsi"/>
              </w:rPr>
              <w:t>für die Bearbeitung</w:t>
            </w:r>
            <w:r>
              <w:rPr>
                <w:rFonts w:cstheme="minorHAnsi"/>
              </w:rPr>
              <w:t xml:space="preserve"> von Aufgaben im Klassenverband</w:t>
            </w:r>
            <w:r w:rsidRPr="004F7B75">
              <w:rPr>
                <w:rFonts w:cstheme="minorHAnsi"/>
              </w:rPr>
              <w:t xml:space="preserve"> </w:t>
            </w:r>
            <w:r w:rsidRPr="004F7B75">
              <w:rPr>
                <w:rFonts w:cstheme="minorHAnsi"/>
              </w:rPr>
              <w:lastRenderedPageBreak/>
              <w:t>verankert</w:t>
            </w:r>
            <w:r>
              <w:rPr>
                <w:rFonts w:cstheme="minorHAnsi"/>
              </w:rPr>
              <w:t xml:space="preserve">. </w:t>
            </w:r>
          </w:p>
          <w:p w:rsidR="002A355D" w:rsidRPr="004F7B75" w:rsidRDefault="002A355D" w:rsidP="00A07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 Lernzeiten werden durchgeführt von </w:t>
            </w:r>
            <w:r w:rsidRPr="004F7B75">
              <w:rPr>
                <w:rFonts w:cstheme="minorHAnsi"/>
              </w:rPr>
              <w:t>Fachlehrkräfte</w:t>
            </w:r>
            <w:r>
              <w:rPr>
                <w:rFonts w:cstheme="minorHAnsi"/>
              </w:rPr>
              <w:t xml:space="preserve">n und pädagogischem Personal in festgelegten Räumen mit bereitgestelltem Material </w:t>
            </w:r>
            <w:r w:rsidRPr="004F7B75">
              <w:rPr>
                <w:rFonts w:cstheme="minorHAnsi"/>
              </w:rPr>
              <w:t xml:space="preserve">(M03). </w:t>
            </w:r>
          </w:p>
          <w:p w:rsidR="002A355D" w:rsidRPr="004F7B75" w:rsidRDefault="002A355D" w:rsidP="00BB27D4">
            <w:pPr>
              <w:rPr>
                <w:rFonts w:cstheme="minorHAnsi"/>
              </w:rPr>
            </w:pPr>
            <w:r w:rsidRPr="004F7B75">
              <w:rPr>
                <w:rFonts w:cstheme="minorHAnsi"/>
                <w:b/>
              </w:rPr>
              <w:t>In Klasse 5</w:t>
            </w:r>
            <w:r w:rsidRPr="004F7B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sind drei Lernzeiten für die Fächer Mathematik, Deutsch und Englisch eingerichtet.</w:t>
            </w:r>
            <w:r w:rsidR="00A81419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E</w:t>
            </w:r>
            <w:r w:rsidRPr="004F7B75">
              <w:rPr>
                <w:rFonts w:cstheme="minorHAnsi"/>
              </w:rPr>
              <w:t xml:space="preserve">ine vierte Lernzeit </w:t>
            </w:r>
            <w:r>
              <w:rPr>
                <w:rFonts w:cstheme="minorHAnsi"/>
              </w:rPr>
              <w:t>für</w:t>
            </w:r>
            <w:r w:rsidRPr="004F7B75">
              <w:rPr>
                <w:rFonts w:cstheme="minorHAnsi"/>
              </w:rPr>
              <w:t xml:space="preserve"> Musik (1. Halbjahr) und Kunst (2. Halbjahr, auf Wunsch der Fachschaften alternierend) </w:t>
            </w:r>
            <w:r>
              <w:rPr>
                <w:rFonts w:cstheme="minorHAnsi"/>
              </w:rPr>
              <w:t xml:space="preserve">wird </w:t>
            </w:r>
            <w:r w:rsidRPr="004F7B75">
              <w:rPr>
                <w:rFonts w:cstheme="minorHAnsi"/>
              </w:rPr>
              <w:t xml:space="preserve">durch zumeist klassenübergreifende Projekte gestaltet. </w:t>
            </w:r>
          </w:p>
          <w:p w:rsidR="002A355D" w:rsidRPr="004F7B75" w:rsidRDefault="002A355D" w:rsidP="00BB27D4">
            <w:pPr>
              <w:rPr>
                <w:rFonts w:cstheme="minorHAnsi"/>
              </w:rPr>
            </w:pPr>
            <w:r w:rsidRPr="004F7B75">
              <w:rPr>
                <w:rFonts w:cstheme="minorHAnsi"/>
                <w:b/>
              </w:rPr>
              <w:t>In Klasse 6</w:t>
            </w:r>
            <w:r w:rsidRPr="004F7B75">
              <w:rPr>
                <w:rFonts w:cstheme="minorHAnsi"/>
              </w:rPr>
              <w:t xml:space="preserve"> sind vier Lernzeiten für die Bearbeitung von Aufgaben in den jeweiligen </w:t>
            </w:r>
            <w:r>
              <w:rPr>
                <w:rFonts w:cstheme="minorHAnsi"/>
              </w:rPr>
              <w:t>Fächern mit schriftlichen Arbeiten</w:t>
            </w:r>
            <w:r w:rsidRPr="004F7B75">
              <w:rPr>
                <w:rFonts w:cstheme="minorHAnsi"/>
              </w:rPr>
              <w:t xml:space="preserve"> vorgesehen. </w:t>
            </w:r>
          </w:p>
          <w:p w:rsidR="002A355D" w:rsidRPr="004F7B75" w:rsidRDefault="002A355D" w:rsidP="001F497F">
            <w:r w:rsidRPr="004F7B75">
              <w:rPr>
                <w:rFonts w:cstheme="minorHAnsi"/>
                <w:b/>
              </w:rPr>
              <w:t>Ab Klasse 7</w:t>
            </w:r>
            <w:r w:rsidRPr="004F7B75">
              <w:rPr>
                <w:rFonts w:cstheme="minorHAnsi"/>
              </w:rPr>
              <w:t xml:space="preserve"> (bis einschließlich Klasse 9) werden die Lernzeiten </w:t>
            </w:r>
            <w:r>
              <w:rPr>
                <w:rFonts w:cstheme="minorHAnsi"/>
              </w:rPr>
              <w:t xml:space="preserve">in Form von </w:t>
            </w:r>
            <w:r w:rsidRPr="004F7B75">
              <w:rPr>
                <w:rFonts w:cstheme="minorHAnsi"/>
              </w:rPr>
              <w:t xml:space="preserve">gemeinsamen jahrgangsstufenübergreifenden Lernzeitenbändern mit dem </w:t>
            </w:r>
            <w:r w:rsidRPr="004F7B75">
              <w:rPr>
                <w:rFonts w:cstheme="minorHAnsi"/>
              </w:rPr>
              <w:lastRenderedPageBreak/>
              <w:t>Prinzip der</w:t>
            </w:r>
            <w:r>
              <w:rPr>
                <w:rFonts w:cstheme="minorHAnsi"/>
              </w:rPr>
              <w:t xml:space="preserve"> freien Raumwahl organisiert (M09, M10)</w:t>
            </w:r>
            <w:r w:rsidRPr="004F7B7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Die vierte Lernzeit kann auch als Projektstunde (sog. Enrichment) gestaltet werden.</w:t>
            </w:r>
          </w:p>
        </w:tc>
        <w:tc>
          <w:tcPr>
            <w:tcW w:w="1090" w:type="pct"/>
          </w:tcPr>
          <w:p w:rsidR="002A355D" w:rsidRPr="009D021E" w:rsidRDefault="002A355D" w:rsidP="00BB27D4">
            <w:r>
              <w:lastRenderedPageBreak/>
              <w:t>Das Insel-Stunden-</w:t>
            </w:r>
            <w:r w:rsidRPr="001550F0">
              <w:t xml:space="preserve">Konzept bezieht sich auf die Fächer mit </w:t>
            </w:r>
            <w:r w:rsidRPr="009D021E">
              <w:t>schriftlichen Arbeiten.</w:t>
            </w:r>
          </w:p>
          <w:p w:rsidR="002A355D" w:rsidRPr="009D021E" w:rsidRDefault="002A355D" w:rsidP="00BB27D4">
            <w:r w:rsidRPr="009D021E">
              <w:t xml:space="preserve">Die </w:t>
            </w:r>
            <w:r>
              <w:t>Insel</w:t>
            </w:r>
            <w:r w:rsidRPr="009D021E">
              <w:t>-Stunden sind fest im Stundenplan</w:t>
            </w:r>
            <w:r w:rsidR="00A81419">
              <w:t xml:space="preserve"> </w:t>
            </w:r>
            <w:r w:rsidRPr="009D021E">
              <w:t>der Jahrgangsstu</w:t>
            </w:r>
            <w:r w:rsidRPr="009D021E">
              <w:lastRenderedPageBreak/>
              <w:t>fen als Ergänzungsstunden verankert (</w:t>
            </w:r>
            <w:r>
              <w:t>vgl. M01</w:t>
            </w:r>
            <w:r w:rsidRPr="009D021E">
              <w:t>). Die Materialien werden auch für de</w:t>
            </w:r>
            <w:r>
              <w:t>n Vertretungsunterricht genutzt (vgl. M02).</w:t>
            </w:r>
          </w:p>
          <w:p w:rsidR="002A355D" w:rsidRPr="009D021E" w:rsidRDefault="002A355D" w:rsidP="00BB27D4"/>
          <w:p w:rsidR="002A355D" w:rsidRPr="009D021E" w:rsidRDefault="002A355D" w:rsidP="00BB27D4">
            <w:r w:rsidRPr="009D021E">
              <w:t xml:space="preserve">Die </w:t>
            </w:r>
            <w:r>
              <w:t>Insel</w:t>
            </w:r>
            <w:r w:rsidRPr="009D021E">
              <w:t>-Stunden sind in ihrem Ablauf einheitlich struktu</w:t>
            </w:r>
            <w:r>
              <w:t>riert (vgl. M01</w:t>
            </w:r>
            <w:r w:rsidRPr="009D021E">
              <w:t>).</w:t>
            </w:r>
          </w:p>
          <w:p w:rsidR="002A355D" w:rsidRDefault="002A355D" w:rsidP="009D021E">
            <w:r w:rsidRPr="009D021E">
              <w:t xml:space="preserve">Die </w:t>
            </w:r>
            <w:r>
              <w:t>Schülerinnen und Schüler</w:t>
            </w:r>
            <w:r w:rsidRPr="009D021E">
              <w:t xml:space="preserve"> erhalten jeweils zu Beginn eines Schuljahres</w:t>
            </w:r>
            <w:r w:rsidR="00A81419">
              <w:t xml:space="preserve"> </w:t>
            </w:r>
            <w:r w:rsidRPr="009D021E">
              <w:t>eine Einführung zu Arbeitsweisen, Methoden und Möglichkeiten der Selbstorganisation</w:t>
            </w:r>
            <w:r>
              <w:t>.</w:t>
            </w:r>
          </w:p>
          <w:p w:rsidR="002A355D" w:rsidRPr="009D021E" w:rsidRDefault="002A355D" w:rsidP="009D021E">
            <w:r>
              <w:t>Die Arbeit in den Insel-Stunden wird dokumentiert (vgl. M06).</w:t>
            </w:r>
          </w:p>
          <w:p w:rsidR="002A355D" w:rsidRPr="00392A82" w:rsidRDefault="002A355D" w:rsidP="00BB27D4">
            <w:pPr>
              <w:rPr>
                <w:highlight w:val="yellow"/>
              </w:rPr>
            </w:pPr>
          </w:p>
        </w:tc>
      </w:tr>
      <w:tr w:rsidR="002A355D" w:rsidTr="002A355D">
        <w:tc>
          <w:tcPr>
            <w:tcW w:w="641" w:type="pct"/>
          </w:tcPr>
          <w:p w:rsidR="002A355D" w:rsidRPr="004F7B75" w:rsidRDefault="002A355D" w:rsidP="00333218">
            <w:pPr>
              <w:pStyle w:val="Standard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kern w:val="24"/>
              </w:rPr>
              <w:lastRenderedPageBreak/>
              <w:t>Individualisiertes Lernen</w:t>
            </w:r>
          </w:p>
          <w:p w:rsidR="002A355D" w:rsidRPr="004F7B75" w:rsidRDefault="002A355D" w:rsidP="003C6537">
            <w:pPr>
              <w:rPr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:rsidR="002A355D" w:rsidRDefault="002A355D" w:rsidP="00333218">
            <w:r w:rsidRPr="004F7B75">
              <w:t xml:space="preserve">Der Gedanke der individuellen Förderung liegt der Einführung der Lernzeiten zu Grunde. </w:t>
            </w:r>
          </w:p>
          <w:p w:rsidR="002A355D" w:rsidRDefault="002A355D" w:rsidP="00333218">
            <w:r>
              <w:t>Insbesondere wird mit den Lernzeiten die Zielsetzung verbunden, das selbstgesteuerte und selbstständige Lernen der</w:t>
            </w:r>
            <w:r w:rsidR="00A81419">
              <w:t xml:space="preserve"> </w:t>
            </w:r>
            <w:r>
              <w:t>Schülerinnen und Schüler zu fördern.</w:t>
            </w:r>
          </w:p>
          <w:p w:rsidR="002A355D" w:rsidRPr="004F7B75" w:rsidRDefault="002A355D" w:rsidP="00333218">
            <w:r>
              <w:t>D</w:t>
            </w:r>
            <w:r w:rsidRPr="004F7B75">
              <w:t>ie Schüler</w:t>
            </w:r>
            <w:r>
              <w:t xml:space="preserve">innen und Schüler </w:t>
            </w:r>
            <w:r w:rsidRPr="004F7B75">
              <w:t xml:space="preserve">entscheiden, an welchen Aufgaben sie im Rahmen ihrer Niveaustufe arbeiten wollen. Die Arbeitsblätter sind vorgegeben und lehnen sich an die Diagnose an. </w:t>
            </w:r>
            <w:r>
              <w:t>Die Aufgaben werden von den Schülerinnen und Schülern selbstständig kontrolliert.</w:t>
            </w:r>
          </w:p>
          <w:p w:rsidR="002A355D" w:rsidRDefault="002A355D" w:rsidP="00333218">
            <w:pPr>
              <w:rPr>
                <w:b/>
              </w:rPr>
            </w:pPr>
          </w:p>
          <w:p w:rsidR="002A355D" w:rsidRPr="004F7B75" w:rsidRDefault="002A355D" w:rsidP="00333218"/>
        </w:tc>
        <w:tc>
          <w:tcPr>
            <w:tcW w:w="1090" w:type="pct"/>
          </w:tcPr>
          <w:p w:rsidR="002A355D" w:rsidRPr="00E7789B" w:rsidRDefault="002A355D" w:rsidP="00EC08A1">
            <w:r w:rsidRPr="00E7789B">
              <w:t>Die Schülerinnen und Schüler können entscheiden, für welches Fach sie an welcher Aufgabenstellung arbeiten möchten. Sie können die Lernpartner und den Raum wählen.</w:t>
            </w:r>
          </w:p>
          <w:p w:rsidR="002A355D" w:rsidRPr="00392A82" w:rsidRDefault="002A355D" w:rsidP="00EC08A1">
            <w:pPr>
              <w:rPr>
                <w:highlight w:val="yellow"/>
              </w:rPr>
            </w:pPr>
          </w:p>
        </w:tc>
        <w:tc>
          <w:tcPr>
            <w:tcW w:w="1090" w:type="pct"/>
          </w:tcPr>
          <w:p w:rsidR="002A355D" w:rsidRDefault="002A355D" w:rsidP="005A22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 Jahrgang 5 steht die ganzheitliche Förderung der Persönlichkeitsentwicklung im Vordergrund (u.a. auch durch die Integration der Fächer Musik und Kunst). </w:t>
            </w:r>
          </w:p>
          <w:p w:rsidR="002A355D" w:rsidRDefault="002A355D" w:rsidP="005A22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Mit der Konzeption der Lernzeiten ab dem Jahrgang 7 wird dem </w:t>
            </w:r>
            <w:r w:rsidRPr="004F7B75">
              <w:rPr>
                <w:rFonts w:cstheme="minorHAnsi"/>
              </w:rPr>
              <w:t xml:space="preserve">Bedürfnis nach Autonomie und Eigenverantwortlichkeit der Schülerinnen und Schüler </w:t>
            </w:r>
            <w:r>
              <w:rPr>
                <w:rFonts w:cstheme="minorHAnsi"/>
              </w:rPr>
              <w:t>Rechnung getragen.</w:t>
            </w:r>
          </w:p>
          <w:p w:rsidR="002A355D" w:rsidRDefault="002A355D" w:rsidP="005A22AD">
            <w:pPr>
              <w:rPr>
                <w:rFonts w:cstheme="minorHAnsi"/>
              </w:rPr>
            </w:pPr>
          </w:p>
          <w:p w:rsidR="002A355D" w:rsidRPr="004F7B75" w:rsidRDefault="002A355D" w:rsidP="005A22AD">
            <w:pPr>
              <w:rPr>
                <w:rFonts w:cstheme="minorHAnsi"/>
              </w:rPr>
            </w:pPr>
            <w:r>
              <w:rPr>
                <w:rFonts w:cstheme="minorHAnsi"/>
              </w:rPr>
              <w:t>Die Schülerinnen und Schüler arbeiten an differenzierten Aufgabenstellungen und Wochenplänen.</w:t>
            </w:r>
            <w:r w:rsidRPr="004F7B75">
              <w:rPr>
                <w:rFonts w:cstheme="minorHAnsi"/>
              </w:rPr>
              <w:t xml:space="preserve"> </w:t>
            </w:r>
          </w:p>
          <w:p w:rsidR="002A355D" w:rsidRDefault="002A355D" w:rsidP="005A22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Für die </w:t>
            </w:r>
            <w:r w:rsidRPr="004F7B75">
              <w:rPr>
                <w:rFonts w:cstheme="minorHAnsi"/>
              </w:rPr>
              <w:t>Lernende</w:t>
            </w:r>
            <w:r>
              <w:rPr>
                <w:rFonts w:cstheme="minorHAnsi"/>
              </w:rPr>
              <w:t>n</w:t>
            </w:r>
            <w:r w:rsidRPr="004F7B75">
              <w:rPr>
                <w:rFonts w:cstheme="minorHAnsi"/>
              </w:rPr>
              <w:t xml:space="preserve"> gibt es darüber hinaus die Möglichkeit</w:t>
            </w:r>
            <w:r>
              <w:rPr>
                <w:rFonts w:cstheme="minorHAnsi"/>
              </w:rPr>
              <w:t>,</w:t>
            </w:r>
            <w:r w:rsidRPr="004F7B75">
              <w:rPr>
                <w:rFonts w:cstheme="minorHAnsi"/>
              </w:rPr>
              <w:t xml:space="preserve"> in den einzelnen Fächern kleinere </w:t>
            </w:r>
            <w:r w:rsidRPr="004F7B75">
              <w:rPr>
                <w:rFonts w:cstheme="minorHAnsi"/>
              </w:rPr>
              <w:lastRenderedPageBreak/>
              <w:t xml:space="preserve">Projekte in Angriff zu nehmen. </w:t>
            </w:r>
          </w:p>
          <w:p w:rsidR="002A355D" w:rsidRPr="002A355D" w:rsidRDefault="002A355D" w:rsidP="00B83653">
            <w:pPr>
              <w:rPr>
                <w:rFonts w:cstheme="minorHAnsi"/>
              </w:rPr>
            </w:pPr>
            <w:r>
              <w:rPr>
                <w:rFonts w:cstheme="minorHAnsi"/>
              </w:rPr>
              <w:t>Im Lernzeitenband ab Klasse 7 wählen die Schülerinnen und Schüler die Lehrkraft und den Raum individuell aus.</w:t>
            </w:r>
          </w:p>
        </w:tc>
        <w:tc>
          <w:tcPr>
            <w:tcW w:w="1090" w:type="pct"/>
          </w:tcPr>
          <w:p w:rsidR="002A355D" w:rsidRDefault="002A355D" w:rsidP="00EC08A1">
            <w:r w:rsidRPr="00256791">
              <w:lastRenderedPageBreak/>
              <w:t>Die Schülerinnen und Schüler können entscheiden, für welches Fach sie an welcher Aufgabenstellung arbeiten möchten. Sie können die Lernpartner und den Raum wählen.</w:t>
            </w:r>
          </w:p>
          <w:p w:rsidR="002A355D" w:rsidRPr="00256791" w:rsidRDefault="002A355D" w:rsidP="00EC08A1">
            <w:r>
              <w:t>Die Schülerinnen und Schüler bearbeiten selbstständig differenzierte Aufgaben.</w:t>
            </w:r>
          </w:p>
          <w:p w:rsidR="002A355D" w:rsidRDefault="002A355D" w:rsidP="00EC08A1">
            <w:pPr>
              <w:rPr>
                <w:b/>
                <w:highlight w:val="yellow"/>
              </w:rPr>
            </w:pPr>
          </w:p>
          <w:p w:rsidR="002A355D" w:rsidRPr="00392A82" w:rsidRDefault="002A355D" w:rsidP="00EC08A1">
            <w:pPr>
              <w:rPr>
                <w:highlight w:val="yellow"/>
              </w:rPr>
            </w:pPr>
          </w:p>
        </w:tc>
      </w:tr>
      <w:tr w:rsidR="002A355D" w:rsidTr="002A355D">
        <w:tc>
          <w:tcPr>
            <w:tcW w:w="641" w:type="pct"/>
          </w:tcPr>
          <w:p w:rsidR="002A355D" w:rsidRPr="004F7B75" w:rsidRDefault="002A355D" w:rsidP="003C6537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>Verknüpfung</w:t>
            </w:r>
            <w:r w:rsidRPr="004F7B75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mit dem Fach</w:t>
            </w:r>
            <w:r w:rsidR="00A81419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>-</w:t>
            </w:r>
            <w:r w:rsidRPr="004F7B75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>unterricht</w:t>
            </w:r>
          </w:p>
        </w:tc>
        <w:tc>
          <w:tcPr>
            <w:tcW w:w="1090" w:type="pct"/>
          </w:tcPr>
          <w:p w:rsidR="002A355D" w:rsidRDefault="002A355D" w:rsidP="00EE0074">
            <w:r w:rsidRPr="004F7B75">
              <w:t>Da das Material an die Lehrwerke der Fächer angepasst ist, i</w:t>
            </w:r>
            <w:r>
              <w:t>st eine Verknüpfung gut möglich.</w:t>
            </w:r>
          </w:p>
          <w:p w:rsidR="002A355D" w:rsidRPr="004F7B75" w:rsidRDefault="002A355D" w:rsidP="00D81A20">
            <w:r>
              <w:t>Eine weitere Möglichkeit der Verknüpfung besteht darin,</w:t>
            </w:r>
            <w:r w:rsidRPr="004F7B75">
              <w:t xml:space="preserve"> Arbeits- und Präsentationsformen</w:t>
            </w:r>
            <w:r>
              <w:t xml:space="preserve"> aus den Lernzeiten auch in anderen Fächern anzuwenden.</w:t>
            </w:r>
            <w:r w:rsidRPr="004F7B75">
              <w:t xml:space="preserve"> </w:t>
            </w:r>
          </w:p>
        </w:tc>
        <w:tc>
          <w:tcPr>
            <w:tcW w:w="1090" w:type="pct"/>
          </w:tcPr>
          <w:p w:rsidR="002A355D" w:rsidRPr="00392A82" w:rsidRDefault="002A355D" w:rsidP="00E7789B">
            <w:pPr>
              <w:rPr>
                <w:highlight w:val="yellow"/>
              </w:rPr>
            </w:pPr>
            <w:r w:rsidRPr="00E7789B">
              <w:t>Die Fachsch</w:t>
            </w:r>
            <w:r>
              <w:t>aften erstellen die Materialien,</w:t>
            </w:r>
            <w:r w:rsidRPr="00E7789B">
              <w:t xml:space="preserve"> so dass eine Verknüpfung mit dem Fachunterricht jeweils angestrebt wird.</w:t>
            </w:r>
          </w:p>
        </w:tc>
        <w:tc>
          <w:tcPr>
            <w:tcW w:w="1090" w:type="pct"/>
          </w:tcPr>
          <w:p w:rsidR="002A355D" w:rsidRPr="004F7B75" w:rsidRDefault="002A355D" w:rsidP="003C6537">
            <w:r w:rsidRPr="004F7B75">
              <w:rPr>
                <w:rFonts w:cstheme="minorHAnsi"/>
              </w:rPr>
              <w:t>Das Material ist so konzipiert, dass es an den aktuellen Unterricht angebunden ist und Lösungen zur Selbstkontrolle bietet.</w:t>
            </w:r>
          </w:p>
        </w:tc>
        <w:tc>
          <w:tcPr>
            <w:tcW w:w="1090" w:type="pct"/>
          </w:tcPr>
          <w:p w:rsidR="002A355D" w:rsidRPr="00392A82" w:rsidRDefault="002A355D" w:rsidP="009D4323">
            <w:pPr>
              <w:rPr>
                <w:highlight w:val="yellow"/>
              </w:rPr>
            </w:pPr>
            <w:r w:rsidRPr="001550F0">
              <w:t>Die Fachschaften erstellen die M</w:t>
            </w:r>
            <w:r>
              <w:t>aterialien. I</w:t>
            </w:r>
            <w:r w:rsidRPr="001550F0">
              <w:t xml:space="preserve">n den </w:t>
            </w:r>
            <w:r>
              <w:t>Insel</w:t>
            </w:r>
            <w:r w:rsidRPr="001550F0">
              <w:t>-Stunden si</w:t>
            </w:r>
            <w:r>
              <w:t>nd die Klassenl</w:t>
            </w:r>
            <w:r w:rsidRPr="001550F0">
              <w:t xml:space="preserve">ehrkräfte sowie die Lehrkräfte, die auch in der Jahrgangsstufe unterrichten, eingesetzt. </w:t>
            </w:r>
            <w:r>
              <w:t>Beobachtungen und Lernergebnisse im Fachunterricht und in den Insel-Stunden werden für eine Lernberatung herangezogen.</w:t>
            </w:r>
          </w:p>
        </w:tc>
      </w:tr>
    </w:tbl>
    <w:p w:rsidR="00CE3CA2" w:rsidRPr="00CE3CA2" w:rsidRDefault="00CE3CA2" w:rsidP="004F7B75"/>
    <w:sectPr w:rsidR="00CE3CA2" w:rsidRPr="00CE3CA2" w:rsidSect="00214D1B">
      <w:headerReference w:type="default" r:id="rId7"/>
      <w:footerReference w:type="default" r:id="rId8"/>
      <w:pgSz w:w="16838" w:h="11906" w:orient="landscape"/>
      <w:pgMar w:top="1417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66" w:rsidRDefault="00325766" w:rsidP="00325766">
      <w:pPr>
        <w:spacing w:after="0" w:line="240" w:lineRule="auto"/>
      </w:pPr>
      <w:r>
        <w:separator/>
      </w:r>
    </w:p>
  </w:endnote>
  <w:endnote w:type="continuationSeparator" w:id="0">
    <w:p w:rsidR="00325766" w:rsidRDefault="00325766" w:rsidP="0032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1B" w:rsidRDefault="00214D1B" w:rsidP="00214D1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B3D37">
      <w:rPr>
        <w:noProof/>
      </w:rPr>
      <w:t>1</w:t>
    </w:r>
    <w:r>
      <w:rPr>
        <w:noProof/>
      </w:rPr>
      <w:fldChar w:fldCharType="end"/>
    </w:r>
  </w:p>
  <w:p w:rsidR="00214D1B" w:rsidRDefault="00214D1B" w:rsidP="00214D1B">
    <w:pPr>
      <w:pStyle w:val="Fuzeile"/>
      <w:rPr>
        <w:rFonts w:cs="Calibri"/>
        <w:color w:val="333333"/>
        <w:sz w:val="18"/>
        <w:szCs w:val="18"/>
      </w:rPr>
    </w:pPr>
    <w:r>
      <w:rPr>
        <w:rFonts w:cs="Times New Roman"/>
        <w:noProof/>
        <w:lang w:eastAsia="de-DE"/>
      </w:rPr>
      <mc:AlternateContent>
        <mc:Choice Requires="wpg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-95885</wp:posOffset>
              </wp:positionH>
              <wp:positionV relativeFrom="page">
                <wp:posOffset>9766300</wp:posOffset>
              </wp:positionV>
              <wp:extent cx="7752715" cy="190500"/>
              <wp:effectExtent l="0" t="0" r="19685" b="0"/>
              <wp:wrapNone/>
              <wp:docPr id="12" name="Gruppieren 12" descr="Grup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52715" cy="190500"/>
                        <a:chOff x="0" y="0"/>
                        <a:chExt cx="7753337" cy="190500"/>
                      </a:xfrm>
                    </wpg:grpSpPr>
                    <wps:wsp>
                      <wps:cNvPr id="13" name="Text Box 25"/>
                      <wps:cNvSpPr txBox="1"/>
                      <wps:spPr>
                        <a:xfrm>
                          <a:off x="6834705" y="7619"/>
                          <a:ext cx="416928" cy="1828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4D1B" w:rsidRDefault="00214D1B" w:rsidP="00214D1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FB3D37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g:grpSp>
                      <wpg:cNvPr id="14" name="Group 31"/>
                      <wpg:cNvGrpSpPr/>
                      <wpg:grpSpPr>
                        <a:xfrm>
                          <a:off x="0" y="-1"/>
                          <a:ext cx="7753339" cy="146052"/>
                          <a:chOff x="0" y="0"/>
                          <a:chExt cx="7753337" cy="146050"/>
                        </a:xfrm>
                      </wpg:grpSpPr>
                      <wps:wsp>
                        <wps:cNvPr id="15" name="AutoShape 27"/>
                        <wps:cNvSpPr/>
                        <wps:spPr>
                          <a:xfrm rot="10800000">
                            <a:off x="6956177" y="0"/>
                            <a:ext cx="797161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AutoShape 28"/>
                        <wps:cNvSpPr/>
                        <wps:spPr>
                          <a:xfrm rot="10800000" flipH="1">
                            <a:off x="0" y="0"/>
                            <a:ext cx="6956178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2" o:spid="_x0000_s1026" alt="Gruppe 33" style="position:absolute;margin-left:-7.55pt;margin-top:769pt;width:610.45pt;height:15pt;z-index:-251660288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0Y+wMAAK8NAAAOAAAAZHJzL2Uyb0RvYy54bWzsV1Fv2zYQfh+w/0DovbEkW5ItxCm6Zs0G&#10;FGuBZj+ApihLqERypGwp/353pCgpTtZmHYbtoQlgnckjeffddx+t69dD25Az16aWYh9EV2FAuGCy&#10;qMVxH/x+/+7VNiCmo6KgjRR8HzxwE7y++fGH617lPJaVbAquCWwiTN6rfVB1ncpXK8Mq3lJzJRUX&#10;MFlK3dIOvurjqtC0h93bZhWHYbrqpS6UlowbA6O3bjK4sfuXJWfdh7I0vCPNPoDYOvup7ecBP1c3&#10;1zQ/aqqqmo1h0G+IoqW1gEOnrW5pR8lJ10+2amumpZFld8Vku5JlWTNuc4BsovAimzstT8rmcsz7&#10;o5pgAmgvcPrmbdlv54+a1AXULg6IoC3U6E6flKq55oLgYMENA8TsKCfrNWLWq2MOS++0+qQ+apc4&#10;mO8l+2xgenU5j9+Ps/NQ6hYXQf5ksMV4mIrBh44wGMyyJM6iJCAM5qJdmIRjtVgFJX2yjFU/zwvX&#10;63V2uXBFc3esDW4KpldAPDNja/4Ztp8qqrgtmUGAPLZrj+09pveTHEicOBytG4JIugHGIVU/bkZk&#10;L8BKt+tNFgIuAEuWRjtHYY/aJkp3MfScBW0bb7cxzk+501xp091x2RI09oGGDrHEpef3pnOu3gUr&#10;JOS7umlgnOaNID3SJINCEEahWcuGusULr7buoKGbut0HmxD/xvMbgXtw25LjSQi9SxKtbjgMcA6a&#10;B1k8ACA9tOU+MH+cqOYBaX4VUBvsYW9obxy8IU7tWwmdHgWEClZJoK0P8M2pk2VtM5yPsEy19XeU&#10;tqyY2O2Lt/HFs/1I1mOFlh1gA/86xV/ZpQDDI6ruxnJt0jCx5aL53+M4LvQ4/3ccB0o6/UCobR+Q&#10;OPNkhl5Ako8FXlKbaAk8jMKtY8tCFtJdkkYZNPIz4rDLohSqbGmO6VtgFzRnJ0dz3M5TG9S5cNSD&#10;scpbbBBgoh9YQBsQ19B2hJIGVaYvQAMhggqeED6cAX6P3JOR6Dj44kWPEn75qhQuPWyqr5/lAh1T&#10;wza/vAJ1QOAKPGBSEDftEBFvYqfHUYqdXk0WsFaf8KL/8Nlj1Mozv5d2VXchyXD+PNuIpZfNfS4r&#10;ePp5/1R2t9nPxeLg9z7+6XzHaKFQT33hAMzPFm9KFPFZkGQhYU7odglI9IXOGdnUBQoiZmz08fC2&#10;0eRMQXHeJPg/EuSRG6rpLTWV87NTDvKFUo7c9/nh7l9QSieP6IxKBpeXU81//xZLn+nwLSaDcby4&#10;w0nZ1OoXFGnM80s/AZwA+Nvse5s/p0NI40nB/l9tHoe7EO5Or95/2eaz39PWnaXhe5vbhh9/ZIw2&#10;vBVYVRvfYPC1Y/ndes3vWTd/AgAA//8DAFBLAwQUAAYACAAAACEAkEHA4uEAAAAOAQAADwAAAGRy&#10;cy9kb3ducmV2LnhtbEyPQWvCQBCF7wX/wzJCb7qJEpE0GxFpe5JCtVB6G7NjEszuhuyaxH/fyak9&#10;znsfb97LdqNpRE+dr51VEC8jEGQLp2tbKvg6vy22IHxAq7FxlhQ8yMMunz1lmGo32E/qT6EUHGJ9&#10;igqqENpUSl9UZNAvXUuWvavrDAY+u1LqDgcON41cRdFGGqwtf6iwpUNFxe10NwreBxz26/i1P96u&#10;h8fPOfn4Psak1PN83L+ACDSGPxim+lwdcu50cXervWgULOIkZpSNZL3lVROyihKec5m0DWsyz+T/&#10;GfkvAAAA//8DAFBLAQItABQABgAIAAAAIQC2gziS/gAAAOEBAAATAAAAAAAAAAAAAAAAAAAAAABb&#10;Q29udGVudF9UeXBlc10ueG1sUEsBAi0AFAAGAAgAAAAhADj9If/WAAAAlAEAAAsAAAAAAAAAAAAA&#10;AAAALwEAAF9yZWxzLy5yZWxzUEsBAi0AFAAGAAgAAAAhACRh3Rj7AwAArw0AAA4AAAAAAAAAAAAA&#10;AAAALgIAAGRycy9lMm9Eb2MueG1sUEsBAi0AFAAGAAgAAAAhAJBBwOLhAAAADgEAAA8AAAAAAAAA&#10;AAAAAAAAVQYAAGRycy9kb3ducmV2LnhtbFBLBQYAAAAABAAEAPMAAAB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I4wAAAANsAAAAPAAAAZHJzL2Rvd25yZXYueG1sRE9Na8JA&#10;EL0L/Q/LFLyZjUqLxKwiLQWxUkj04HHIjkkwOxt2txr/vSsUepvH+5x8PZhOXMn51rKCaZKCIK6s&#10;brlWcDx8TRYgfEDW2FkmBXfysF69jHLMtL1xQdcy1CKGsM9QQRNCn0npq4YM+sT2xJE7W2cwROhq&#10;qR3eYrjp5CxN36XBlmNDgz19NFRdyl+jYFfg/huLt5ltjdenrfy5f1pSavw6bJYgAg3hX/zn3uo4&#10;fw7PX+IBcvUAAAD//wMAUEsBAi0AFAAGAAgAAAAhANvh9svuAAAAhQEAABMAAAAAAAAAAAAAAAAA&#10;AAAAAFtDb250ZW50X1R5cGVzXS54bWxQSwECLQAUAAYACAAAACEAWvQsW78AAAAVAQAACwAAAAAA&#10;AAAAAAAAAAAfAQAAX3JlbHMvLnJlbHNQSwECLQAUAAYACAAAACEAWMnCOMAAAADbAAAADwAAAAAA&#10;AAAAAAAAAAAHAgAAZHJzL2Rvd25yZXYueG1sUEsFBgAAAAADAAMAtwAAAPQCAAAAAA==&#10;" filled="f" stroked="f" strokeweight="1pt">
                <v:stroke miterlimit="4"/>
                <v:textbox inset="0,0,0,0">
                  <w:txbxContent>
                    <w:p w:rsidR="00214D1B" w:rsidRDefault="00214D1B" w:rsidP="00214D1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FB3D37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bQwgAAANsAAAAPAAAAZHJzL2Rvd25yZXYueG1sRE/fa8Iw&#10;EH4X9j+EE/Y2E0XL1hllDsbmwwY68flobk21uZQma+t/bwYD3+7j+3nL9eBq0VEbKs8aphMFgrjw&#10;puJSw+H77eERRIjIBmvPpOFCAdaru9ESc+N73lG3j6VIIRxy1GBjbHIpQ2HJYZj4hjhxP751GBNs&#10;S2la7FO4q+VMqUw6rDg1WGzo1VJx3v86DZ/ZhmI//zrO3+0243KnTt2T0vp+PLw8g4g0xJv43/1h&#10;0vwF/P2SDpCrKwAAAP//AwBQSwECLQAUAAYACAAAACEA2+H2y+4AAACFAQAAEwAAAAAAAAAAAAAA&#10;AAAAAAAAW0NvbnRlbnRfVHlwZXNdLnhtbFBLAQItABQABgAIAAAAIQBa9CxbvwAAABUBAAALAAAA&#10;AAAAAAAAAAAAAB8BAABfcmVscy8ucmVsc1BLAQItABQABgAIAAAAIQCSBFbQwgAAANsAAAAPAAAA&#10;AAAAAAAAAAAAAAcCAABkcnMvZG93bnJldi54bWxQSwUGAAAAAAMAAwC3AAAA9gIAAAAA&#10;" path="m,l10800,r,21600l21600,21600e" filled="f" strokecolor="#a5a5a5">
                  <v:stroke joinstyle="miter"/>
                  <v:path arrowok="t" o:extrusionok="f" o:connecttype="custom" o:connectlocs="398581,73026;398581,73026;398581,73026;398581,73026" o:connectangles="0,90,180,270"/>
                </v:shape>
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yGwQAAANsAAAAPAAAAZHJzL2Rvd25yZXYueG1sRE/NasJA&#10;EL4X+g7LFLzVjTmEmLpKEBQPUmraBxiyYzY0OxuzG03evlso9DYf3+9sdpPtxJ0G3zpWsFomIIhr&#10;p1tuFHx9Hl5zED4ga+wck4KZPOy2z08bLLR78IXuVWhEDGFfoAITQl9I6WtDFv3S9cSRu7rBYohw&#10;aKQe8BHDbSfTJMmkxZZjg8Ge9obq72q0Cq6yLvHc5uM8r1PzcXTZu05vSi1epvINRKAp/Iv/3Ccd&#10;52fw+0s8QG5/AAAA//8DAFBLAQItABQABgAIAAAAIQDb4fbL7gAAAIUBAAATAAAAAAAAAAAAAAAA&#10;AAAAAABbQ29udGVudF9UeXBlc10ueG1sUEsBAi0AFAAGAAgAAAAhAFr0LFu/AAAAFQEAAAsAAAAA&#10;AAAAAAAAAAAAHwEAAF9yZWxzLy5yZWxzUEsBAi0AFAAGAAgAAAAhANGMDIbBAAAA2wAAAA8AAAAA&#10;AAAAAAAAAAAABwIAAGRycy9kb3ducmV2LnhtbFBLBQYAAAAAAwADALcAAAD1AgAAAAA=&#10;" path="m,l20904,r,21600l21600,21600e" filled="f" strokecolor="#a5a5a5">
                  <v:stroke joinstyle="miter"/>
                  <v:path arrowok="t" o:extrusionok="f" o:connecttype="custom" o:connectlocs="3478089,73026;3478089,73026;3478089,73026;3478089,73026" o:connectangles="0,90,180,270"/>
                </v:shape>
              </v:group>
              <w10:wrap anchorx="page" anchory="page"/>
            </v:group>
          </w:pict>
        </mc:Fallback>
      </mc:AlternateContent>
    </w:r>
    <w:r w:rsidRPr="00261766">
      <w:rPr>
        <w:rFonts w:cs="Calibri"/>
        <w:color w:val="333333"/>
        <w:sz w:val="18"/>
        <w:szCs w:val="18"/>
      </w:rPr>
      <w:t xml:space="preserve">Diese </w:t>
    </w:r>
    <w:r>
      <w:rPr>
        <w:rFonts w:cs="Calibri"/>
        <w:color w:val="333333"/>
        <w:sz w:val="18"/>
        <w:szCs w:val="18"/>
      </w:rPr>
      <w:t>Übersicht</w:t>
    </w:r>
    <w:r w:rsidRPr="00261766">
      <w:rPr>
        <w:rFonts w:cs="Calibri"/>
        <w:color w:val="333333"/>
        <w:sz w:val="18"/>
        <w:szCs w:val="18"/>
      </w:rPr>
      <w:t xml:space="preserve"> (Titel, Untertitel, Text, Logo, etc. – Abweichungen sind gekennzeichnet) steht unter der Lizenz </w:t>
    </w:r>
    <w:hyperlink r:id="rId1" w:tgtFrame="_blank" w:history="1">
      <w:r w:rsidRPr="00261766">
        <w:rPr>
          <w:rStyle w:val="Hyperlink"/>
          <w:rFonts w:cs="Calibri"/>
          <w:sz w:val="18"/>
          <w:szCs w:val="18"/>
        </w:rPr>
        <w:t>CC BY-SA 4.0</w:t>
      </w:r>
    </w:hyperlink>
    <w:r w:rsidRPr="00261766">
      <w:rPr>
        <w:rFonts w:cs="Calibri"/>
        <w:color w:val="333333"/>
        <w:sz w:val="18"/>
        <w:szCs w:val="18"/>
      </w:rPr>
      <w:t xml:space="preserve"> und kann unter deren Bedingungen kostenlos </w:t>
    </w:r>
  </w:p>
  <w:p w:rsidR="00214D1B" w:rsidRDefault="00214D1B">
    <w:pPr>
      <w:pStyle w:val="Fuzeile"/>
      <w:rPr>
        <w:rFonts w:cs="Calibri"/>
        <w:color w:val="333333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8302625</wp:posOffset>
          </wp:positionH>
          <wp:positionV relativeFrom="paragraph">
            <wp:posOffset>50165</wp:posOffset>
          </wp:positionV>
          <wp:extent cx="770890" cy="269875"/>
          <wp:effectExtent l="0" t="0" r="0" b="0"/>
          <wp:wrapThrough wrapText="bothSides">
            <wp:wrapPolygon edited="0">
              <wp:start x="0" y="0"/>
              <wp:lineTo x="0" y="19821"/>
              <wp:lineTo x="20817" y="19821"/>
              <wp:lineTo x="2081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766">
      <w:rPr>
        <w:rFonts w:cs="Calibri"/>
        <w:color w:val="333333"/>
        <w:sz w:val="18"/>
        <w:szCs w:val="18"/>
      </w:rPr>
      <w:t xml:space="preserve">und frei verwendet verändert und weitergegeben werden. Urheber im Sinne der Lizenz ist die </w:t>
    </w:r>
    <w:hyperlink r:id="rId3" w:tgtFrame="_blank" w:history="1">
      <w:r w:rsidRPr="00261766">
        <w:rPr>
          <w:rStyle w:val="Hyperlink"/>
          <w:rFonts w:cs="Calibri"/>
          <w:sz w:val="18"/>
          <w:szCs w:val="18"/>
        </w:rPr>
        <w:t>QUA-LiS NRW</w:t>
      </w:r>
    </w:hyperlink>
    <w:r w:rsidRPr="00261766">
      <w:rPr>
        <w:rFonts w:cs="Calibri"/>
        <w:color w:val="333333"/>
        <w:sz w:val="18"/>
        <w:szCs w:val="18"/>
      </w:rPr>
      <w:t xml:space="preserve">. </w:t>
    </w:r>
  </w:p>
  <w:p w:rsidR="00214D1B" w:rsidRDefault="00214D1B">
    <w:pPr>
      <w:pStyle w:val="Fuzeile"/>
      <w:rPr>
        <w:rFonts w:cs="Calibri"/>
        <w:color w:val="333333"/>
        <w:sz w:val="18"/>
        <w:szCs w:val="18"/>
      </w:rPr>
    </w:pPr>
  </w:p>
  <w:p w:rsidR="00214D1B" w:rsidRDefault="00214D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66" w:rsidRDefault="00325766" w:rsidP="00325766">
      <w:pPr>
        <w:spacing w:after="0" w:line="240" w:lineRule="auto"/>
      </w:pPr>
      <w:r>
        <w:separator/>
      </w:r>
    </w:p>
  </w:footnote>
  <w:footnote w:type="continuationSeparator" w:id="0">
    <w:p w:rsidR="00325766" w:rsidRDefault="00325766" w:rsidP="0032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19" w:rsidRPr="007A3DB8" w:rsidRDefault="00A81419" w:rsidP="00A81419">
    <w:pPr>
      <w:framePr w:w="2058" w:h="1021" w:hSpace="142" w:wrap="notBeside" w:vAnchor="page" w:hAnchor="page" w:x="12459" w:y="811"/>
      <w:rPr>
        <w:b/>
        <w:sz w:val="16"/>
        <w:szCs w:val="16"/>
      </w:rPr>
    </w:pPr>
    <w:r w:rsidRPr="007A3DB8">
      <w:rPr>
        <w:rFonts w:cs="Arial"/>
        <w:b/>
        <w:sz w:val="16"/>
        <w:szCs w:val="16"/>
      </w:rPr>
      <w:t>Qualitäts- und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>UnterstützungsAgentur</w:t>
    </w:r>
    <w:r>
      <w:rPr>
        <w:rFonts w:cs="Arial"/>
        <w:b/>
        <w:sz w:val="16"/>
        <w:szCs w:val="16"/>
      </w:rPr>
      <w:t xml:space="preserve"> -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 xml:space="preserve">Landesinstitut für Schule </w:t>
    </w:r>
  </w:p>
  <w:p w:rsidR="00325766" w:rsidRDefault="00A81419" w:rsidP="00325766">
    <w:pPr>
      <w:jc w:val="right"/>
      <w:rPr>
        <w:b/>
        <w:bCs/>
        <w:sz w:val="16"/>
        <w:szCs w:val="16"/>
      </w:rPr>
    </w:pPr>
    <w:r>
      <w:rPr>
        <w:noProof/>
        <w:lang w:eastAsia="de-DE"/>
      </w:rPr>
      <w:drawing>
        <wp:anchor distT="152400" distB="152400" distL="152400" distR="152400" simplePos="0" relativeHeight="251661312" behindDoc="1" locked="0" layoutInCell="1" allowOverlap="1" wp14:anchorId="7262E814" wp14:editId="576E3988">
          <wp:simplePos x="0" y="0"/>
          <wp:positionH relativeFrom="page">
            <wp:posOffset>9246235</wp:posOffset>
          </wp:positionH>
          <wp:positionV relativeFrom="page">
            <wp:posOffset>490855</wp:posOffset>
          </wp:positionV>
          <wp:extent cx="543560" cy="579755"/>
          <wp:effectExtent l="0" t="0" r="8890" b="0"/>
          <wp:wrapNone/>
          <wp:docPr id="1073741827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Grafik 1" descr="Grafi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25766">
      <w:rPr>
        <w:noProof/>
        <w:lang w:eastAsia="de-DE"/>
      </w:rPr>
      <w:drawing>
        <wp:anchor distT="152400" distB="152400" distL="152400" distR="152400" simplePos="0" relativeHeight="251657216" behindDoc="1" locked="0" layoutInCell="1" allowOverlap="1" wp14:anchorId="14F8DC1A" wp14:editId="2A208C44">
          <wp:simplePos x="0" y="0"/>
          <wp:positionH relativeFrom="page">
            <wp:posOffset>1011555</wp:posOffset>
          </wp:positionH>
          <wp:positionV relativeFrom="page">
            <wp:posOffset>389255</wp:posOffset>
          </wp:positionV>
          <wp:extent cx="2232025" cy="702310"/>
          <wp:effectExtent l="0" t="0" r="0" b="2540"/>
          <wp:wrapNone/>
          <wp:docPr id="1073741825" name="officeArt object" descr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0" descr="Grafik 10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702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25766">
      <w:rPr>
        <w:b/>
        <w:bCs/>
        <w:sz w:val="16"/>
        <w:szCs w:val="16"/>
      </w:rPr>
      <w:t xml:space="preserve"> </w:t>
    </w:r>
    <w:r w:rsidR="00325766">
      <w:rPr>
        <w:b/>
        <w:bCs/>
        <w:sz w:val="16"/>
        <w:szCs w:val="16"/>
      </w:rPr>
      <w:tab/>
    </w:r>
    <w:r w:rsidR="00325766">
      <w:rPr>
        <w:b/>
        <w:bCs/>
        <w:sz w:val="16"/>
        <w:szCs w:val="16"/>
      </w:rPr>
      <w:tab/>
    </w:r>
    <w:r w:rsidR="00325766">
      <w:rPr>
        <w:b/>
        <w:bCs/>
        <w:sz w:val="16"/>
        <w:szCs w:val="16"/>
      </w:rPr>
      <w:tab/>
    </w:r>
    <w:r w:rsidR="00325766">
      <w:rPr>
        <w:b/>
        <w:bCs/>
        <w:sz w:val="16"/>
        <w:szCs w:val="16"/>
      </w:rPr>
      <w:tab/>
    </w:r>
    <w:r w:rsidR="00325766">
      <w:rPr>
        <w:b/>
        <w:bCs/>
        <w:sz w:val="16"/>
        <w:szCs w:val="16"/>
      </w:rPr>
      <w:tab/>
    </w:r>
    <w:r w:rsidR="00325766">
      <w:rPr>
        <w:b/>
        <w:bCs/>
        <w:sz w:val="16"/>
        <w:szCs w:val="16"/>
      </w:rPr>
      <w:tab/>
    </w:r>
    <w:r w:rsidR="00325766">
      <w:rPr>
        <w:b/>
        <w:bCs/>
        <w:sz w:val="16"/>
        <w:szCs w:val="16"/>
      </w:rPr>
      <w:tab/>
    </w:r>
    <w:r w:rsidR="00325766">
      <w:rPr>
        <w:b/>
        <w:bCs/>
        <w:sz w:val="16"/>
        <w:szCs w:val="16"/>
      </w:rPr>
      <w:tab/>
    </w:r>
  </w:p>
  <w:p w:rsidR="00325766" w:rsidRDefault="00325766">
    <w:pPr>
      <w:pStyle w:val="Kopfzeile"/>
    </w:pPr>
  </w:p>
  <w:p w:rsidR="00325766" w:rsidRDefault="00325766">
    <w:pPr>
      <w:pStyle w:val="Kopfzeile"/>
    </w:pPr>
  </w:p>
  <w:p w:rsidR="00FB3D37" w:rsidRDefault="00FB3D37" w:rsidP="00FB3D37">
    <w:pPr>
      <w:pStyle w:val="Kopfzeile"/>
      <w:jc w:val="center"/>
    </w:pPr>
    <w:r w:rsidRPr="0003158C">
      <w:rPr>
        <w:i/>
      </w:rPr>
      <w:t>Fortbildungsmaterialien zur Schul- und Unterrichtsentwicklung aus Netzwerkprojekten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13D"/>
    <w:multiLevelType w:val="hybridMultilevel"/>
    <w:tmpl w:val="66D21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F5"/>
    <w:rsid w:val="00053517"/>
    <w:rsid w:val="000C506C"/>
    <w:rsid w:val="000E209A"/>
    <w:rsid w:val="00117772"/>
    <w:rsid w:val="001550F0"/>
    <w:rsid w:val="001B346C"/>
    <w:rsid w:val="001C60D6"/>
    <w:rsid w:val="001F497F"/>
    <w:rsid w:val="00214D1B"/>
    <w:rsid w:val="00256791"/>
    <w:rsid w:val="0027634F"/>
    <w:rsid w:val="002A355D"/>
    <w:rsid w:val="00301DBB"/>
    <w:rsid w:val="00325766"/>
    <w:rsid w:val="00333218"/>
    <w:rsid w:val="00392A82"/>
    <w:rsid w:val="003B00F2"/>
    <w:rsid w:val="003C5301"/>
    <w:rsid w:val="003C6537"/>
    <w:rsid w:val="003D5010"/>
    <w:rsid w:val="004042CF"/>
    <w:rsid w:val="00486532"/>
    <w:rsid w:val="004F7B75"/>
    <w:rsid w:val="00502AF9"/>
    <w:rsid w:val="00533C50"/>
    <w:rsid w:val="005773E2"/>
    <w:rsid w:val="005A22AD"/>
    <w:rsid w:val="00685C16"/>
    <w:rsid w:val="0069655C"/>
    <w:rsid w:val="0076376C"/>
    <w:rsid w:val="007C7E82"/>
    <w:rsid w:val="007D74C2"/>
    <w:rsid w:val="008837EB"/>
    <w:rsid w:val="008D1D52"/>
    <w:rsid w:val="008F4D58"/>
    <w:rsid w:val="0092035A"/>
    <w:rsid w:val="00951ED1"/>
    <w:rsid w:val="0095607F"/>
    <w:rsid w:val="00983C90"/>
    <w:rsid w:val="00992DC4"/>
    <w:rsid w:val="00993509"/>
    <w:rsid w:val="009A5523"/>
    <w:rsid w:val="009D021E"/>
    <w:rsid w:val="009D4323"/>
    <w:rsid w:val="009E6C4F"/>
    <w:rsid w:val="009F7FE8"/>
    <w:rsid w:val="00A07354"/>
    <w:rsid w:val="00A81419"/>
    <w:rsid w:val="00B042AF"/>
    <w:rsid w:val="00B25B01"/>
    <w:rsid w:val="00B740CA"/>
    <w:rsid w:val="00B75D5A"/>
    <w:rsid w:val="00B83653"/>
    <w:rsid w:val="00BF0D96"/>
    <w:rsid w:val="00C16789"/>
    <w:rsid w:val="00C91302"/>
    <w:rsid w:val="00CE3CA2"/>
    <w:rsid w:val="00D17946"/>
    <w:rsid w:val="00D17FF5"/>
    <w:rsid w:val="00D32F72"/>
    <w:rsid w:val="00D452E0"/>
    <w:rsid w:val="00D81A20"/>
    <w:rsid w:val="00E243FA"/>
    <w:rsid w:val="00E34ED1"/>
    <w:rsid w:val="00E7789B"/>
    <w:rsid w:val="00EC08A1"/>
    <w:rsid w:val="00EE0074"/>
    <w:rsid w:val="00EE34D8"/>
    <w:rsid w:val="00EF704D"/>
    <w:rsid w:val="00F17BDA"/>
    <w:rsid w:val="00F944F9"/>
    <w:rsid w:val="00FB3D37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E5D57"/>
  <w15:docId w15:val="{1C04D868-4017-4C0A-83D0-5430EF8A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F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FF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C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C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C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E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CE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CE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766"/>
  </w:style>
  <w:style w:type="paragraph" w:styleId="Fuzeile">
    <w:name w:val="footer"/>
    <w:basedOn w:val="Standard"/>
    <w:link w:val="FuzeileZchn"/>
    <w:uiPriority w:val="99"/>
    <w:unhideWhenUsed/>
    <w:rsid w:val="0032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7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76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53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3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3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301"/>
    <w:rPr>
      <w:b/>
      <w:bCs/>
      <w:sz w:val="20"/>
      <w:szCs w:val="20"/>
    </w:rPr>
  </w:style>
  <w:style w:type="paragraph" w:customStyle="1" w:styleId="Default">
    <w:name w:val="Default"/>
    <w:rsid w:val="00992D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sz w:val="24"/>
      <w:szCs w:val="24"/>
      <w:u w:color="000000"/>
      <w:bdr w:val="nil"/>
      <w:lang w:eastAsia="de-DE"/>
    </w:rPr>
  </w:style>
  <w:style w:type="character" w:styleId="Hyperlink">
    <w:name w:val="Hyperlink"/>
    <w:uiPriority w:val="99"/>
    <w:unhideWhenUsed/>
    <w:rsid w:val="00214D1B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6075</Characters>
  <DocSecurity>0</DocSecurity>
  <Lines>276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2019-05-17T12:30:00Z</dcterms:created>
  <dcterms:modified xsi:type="dcterms:W3CDTF">2020-07-27T08:03:00Z</dcterms:modified>
</cp:coreProperties>
</file>