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F7B" w:rsidRDefault="00317F7B" w:rsidP="001713AD">
      <w:pPr>
        <w:jc w:val="center"/>
        <w:rPr>
          <w:b/>
          <w:bCs/>
          <w:noProof/>
          <w:sz w:val="28"/>
          <w:szCs w:val="28"/>
        </w:rPr>
      </w:pPr>
    </w:p>
    <w:p w:rsidR="0082177E" w:rsidRDefault="00944158" w:rsidP="001713AD">
      <w:pPr>
        <w:jc w:val="center"/>
        <w:rPr>
          <w:b/>
          <w:bCs/>
          <w:sz w:val="28"/>
          <w:szCs w:val="28"/>
        </w:rPr>
      </w:pPr>
      <w:r>
        <w:rPr>
          <w:b/>
          <w:bCs/>
          <w:noProof/>
          <w:sz w:val="28"/>
          <w:szCs w:val="28"/>
        </w:rPr>
        <w:t>M</w:t>
      </w:r>
      <w:r w:rsidR="00641B27">
        <w:rPr>
          <w:b/>
          <w:bCs/>
          <w:noProof/>
          <w:sz w:val="28"/>
          <w:szCs w:val="28"/>
        </w:rPr>
        <w:t>0</w:t>
      </w:r>
      <w:r w:rsidR="00317F7B">
        <w:rPr>
          <w:b/>
          <w:bCs/>
          <w:noProof/>
          <w:sz w:val="28"/>
          <w:szCs w:val="28"/>
        </w:rPr>
        <w:t>8</w:t>
      </w:r>
      <w:r w:rsidR="00D015AF" w:rsidRPr="002C5B9A">
        <w:rPr>
          <w:b/>
          <w:bCs/>
          <w:noProof/>
          <w:sz w:val="28"/>
          <w:szCs w:val="28"/>
        </w:rPr>
        <w:t xml:space="preserve"> Konzeption </w:t>
      </w:r>
      <w:r w:rsidR="00D015AF" w:rsidRPr="002C5B9A">
        <w:rPr>
          <w:b/>
          <w:bCs/>
          <w:sz w:val="28"/>
          <w:szCs w:val="28"/>
        </w:rPr>
        <w:t>einer Stunde zum Thema „Lose und Feste Rolle“</w:t>
      </w:r>
    </w:p>
    <w:p w:rsidR="005A0259" w:rsidRPr="002C5B9A" w:rsidRDefault="005A0259" w:rsidP="001713AD">
      <w:pPr>
        <w:jc w:val="center"/>
        <w:rPr>
          <w:b/>
          <w:bCs/>
          <w:sz w:val="28"/>
          <w:szCs w:val="28"/>
        </w:rPr>
      </w:pPr>
    </w:p>
    <w:p w:rsidR="00D015AF" w:rsidRPr="001A14EB" w:rsidRDefault="00D015AF" w:rsidP="001A14EB">
      <w:pPr>
        <w:ind w:left="1416" w:hanging="1416"/>
        <w:rPr>
          <w:b/>
          <w:u w:val="single"/>
        </w:rPr>
      </w:pPr>
      <w:r w:rsidRPr="001A14EB">
        <w:rPr>
          <w:b/>
          <w:u w:val="single"/>
        </w:rPr>
        <w:t xml:space="preserve">Aufgabe: </w:t>
      </w:r>
      <w:r w:rsidR="001A14EB" w:rsidRPr="001A14EB">
        <w:rPr>
          <w:b/>
        </w:rPr>
        <w:tab/>
      </w:r>
      <w:r w:rsidRPr="00263BB5">
        <w:rPr>
          <w:b/>
          <w:bCs/>
        </w:rPr>
        <w:t>Konzipieren Sie eine Stunde mit allen Phasen des Basismodells „Lernen durch Eigenerfahrung“, in der die Schülerinnen und Schüler den Unterschied zwischen fester und loser Rolle erfahren.</w:t>
      </w:r>
    </w:p>
    <w:p w:rsidR="00263BB5" w:rsidRDefault="00D015AF" w:rsidP="00D015AF">
      <w:pPr>
        <w:jc w:val="both"/>
      </w:pPr>
      <w:r>
        <w:t xml:space="preserve">Beim Lernen durch Eigenerfahrung kommt es darauf an, dass die Schülerinnen und Schüler die Wirkung der festen und losen Rolle möglichst direkt (sinnlich) erfassen und als Regeln (Erfahrungsgesetze) formulieren. </w:t>
      </w:r>
    </w:p>
    <w:p w:rsidR="00263BB5" w:rsidRDefault="00D015AF" w:rsidP="00D015AF">
      <w:pPr>
        <w:jc w:val="both"/>
      </w:pPr>
      <w:r>
        <w:t xml:space="preserve">Dazu muss ihnen einerseits Gelegenheit zum explorierenden Umgang mit festen bzw. losen Rollen gegeben werden und andererseits muss ein Rahmen geschaffen werden, in dem die Schülerinnen und Schüler ihre Erfahrungen verbalisieren, austauschen, strukturieren und mit Vorerfahrungen verknüpfen können. Eine fachliche Systematisierung im Sinne eines Konzepts wird (noch) vermieden. </w:t>
      </w:r>
    </w:p>
    <w:p w:rsidR="00263BB5" w:rsidRDefault="00D015AF" w:rsidP="00D015AF">
      <w:pPr>
        <w:jc w:val="both"/>
      </w:pPr>
      <w:r>
        <w:t xml:space="preserve">Als Ergebnis der Stunde wird eine für die Schülerinnen und Schüler bedeutsame Erfahrung festgehalten. </w:t>
      </w:r>
      <w:bookmarkStart w:id="0" w:name="_Hlk22489199"/>
    </w:p>
    <w:tbl>
      <w:tblPr>
        <w:tblStyle w:val="Tabellenraster"/>
        <w:tblW w:w="9419" w:type="dxa"/>
        <w:jc w:val="center"/>
        <w:tblLook w:val="04A0" w:firstRow="1" w:lastRow="0" w:firstColumn="1" w:lastColumn="0" w:noHBand="0" w:noVBand="1"/>
      </w:tblPr>
      <w:tblGrid>
        <w:gridCol w:w="3070"/>
        <w:gridCol w:w="6349"/>
      </w:tblGrid>
      <w:tr w:rsidR="00D015AF" w:rsidTr="00D015AF">
        <w:trPr>
          <w:jc w:val="center"/>
        </w:trPr>
        <w:tc>
          <w:tcPr>
            <w:tcW w:w="3070" w:type="dxa"/>
            <w:tcBorders>
              <w:top w:val="single" w:sz="4" w:space="0" w:color="auto"/>
              <w:left w:val="single" w:sz="4" w:space="0" w:color="auto"/>
              <w:bottom w:val="single" w:sz="4" w:space="0" w:color="auto"/>
              <w:right w:val="single" w:sz="4" w:space="0" w:color="auto"/>
            </w:tcBorders>
            <w:hideMark/>
          </w:tcPr>
          <w:p w:rsidR="00D015AF" w:rsidRDefault="00D015AF">
            <w:pPr>
              <w:jc w:val="center"/>
              <w:rPr>
                <w:b/>
              </w:rPr>
            </w:pPr>
            <w:r>
              <w:rPr>
                <w:b/>
              </w:rPr>
              <w:t>Phase</w:t>
            </w:r>
          </w:p>
        </w:tc>
        <w:tc>
          <w:tcPr>
            <w:tcW w:w="6349" w:type="dxa"/>
            <w:tcBorders>
              <w:top w:val="single" w:sz="4" w:space="0" w:color="auto"/>
              <w:left w:val="single" w:sz="4" w:space="0" w:color="auto"/>
              <w:bottom w:val="single" w:sz="4" w:space="0" w:color="auto"/>
              <w:right w:val="single" w:sz="4" w:space="0" w:color="auto"/>
            </w:tcBorders>
            <w:hideMark/>
          </w:tcPr>
          <w:p w:rsidR="00D015AF" w:rsidRDefault="00D015AF">
            <w:pPr>
              <w:jc w:val="center"/>
              <w:rPr>
                <w:b/>
              </w:rPr>
            </w:pPr>
            <w:r>
              <w:rPr>
                <w:b/>
              </w:rPr>
              <w:t>Handlung</w:t>
            </w:r>
          </w:p>
        </w:tc>
      </w:tr>
      <w:tr w:rsidR="00D015AF" w:rsidTr="00263BB5">
        <w:trPr>
          <w:trHeight w:val="288"/>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rsidR="00263BB5" w:rsidRDefault="00D015AF">
            <w:r>
              <w:t>Planung der Handlungen</w:t>
            </w:r>
          </w:p>
          <w:p w:rsidR="00263BB5" w:rsidRDefault="00263BB5"/>
        </w:tc>
        <w:tc>
          <w:tcPr>
            <w:tcW w:w="6349" w:type="dxa"/>
            <w:tcBorders>
              <w:top w:val="single" w:sz="4" w:space="0" w:color="auto"/>
              <w:left w:val="single" w:sz="4" w:space="0" w:color="auto"/>
              <w:bottom w:val="single" w:sz="4" w:space="0" w:color="auto"/>
              <w:right w:val="single" w:sz="4" w:space="0" w:color="auto"/>
            </w:tcBorders>
          </w:tcPr>
          <w:p w:rsidR="00263BB5" w:rsidRDefault="00263BB5" w:rsidP="00263BB5"/>
        </w:tc>
      </w:tr>
      <w:tr w:rsidR="00D015AF" w:rsidTr="00D015AF">
        <w:trPr>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rsidR="00D015AF" w:rsidRDefault="00D015AF">
            <w:r>
              <w:t>Durchführung der Handlungen</w:t>
            </w:r>
          </w:p>
          <w:p w:rsidR="00263BB5" w:rsidRDefault="00263BB5"/>
        </w:tc>
        <w:tc>
          <w:tcPr>
            <w:tcW w:w="6349" w:type="dxa"/>
            <w:tcBorders>
              <w:top w:val="single" w:sz="4" w:space="0" w:color="auto"/>
              <w:left w:val="single" w:sz="4" w:space="0" w:color="auto"/>
              <w:bottom w:val="single" w:sz="4" w:space="0" w:color="auto"/>
              <w:right w:val="single" w:sz="4" w:space="0" w:color="auto"/>
            </w:tcBorders>
            <w:hideMark/>
          </w:tcPr>
          <w:p w:rsidR="00D015AF" w:rsidRDefault="00D015AF">
            <w:pPr>
              <w:rPr>
                <w:color w:val="FF0000"/>
              </w:rPr>
            </w:pPr>
          </w:p>
        </w:tc>
      </w:tr>
      <w:tr w:rsidR="00D015AF" w:rsidTr="00D015AF">
        <w:trPr>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rsidR="00D015AF" w:rsidRDefault="00D015AF">
            <w:r w:rsidRPr="00D015AF">
              <w:t>Konstruktion von Bedeutung</w:t>
            </w:r>
          </w:p>
          <w:p w:rsidR="00263BB5" w:rsidRPr="00D015AF" w:rsidRDefault="00263BB5"/>
        </w:tc>
        <w:tc>
          <w:tcPr>
            <w:tcW w:w="6349" w:type="dxa"/>
            <w:tcBorders>
              <w:top w:val="single" w:sz="4" w:space="0" w:color="auto"/>
              <w:left w:val="single" w:sz="4" w:space="0" w:color="auto"/>
              <w:bottom w:val="single" w:sz="4" w:space="0" w:color="auto"/>
              <w:right w:val="single" w:sz="4" w:space="0" w:color="auto"/>
            </w:tcBorders>
            <w:hideMark/>
          </w:tcPr>
          <w:p w:rsidR="00D015AF" w:rsidRPr="00263BB5" w:rsidRDefault="00D015AF" w:rsidP="00263BB5">
            <w:pPr>
              <w:rPr>
                <w:color w:val="FF0000"/>
              </w:rPr>
            </w:pPr>
          </w:p>
        </w:tc>
      </w:tr>
      <w:tr w:rsidR="00D015AF" w:rsidTr="00D015AF">
        <w:trPr>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rsidR="00D015AF" w:rsidRDefault="00D015AF">
            <w:r>
              <w:t>Generalisierung der Erfahrung</w:t>
            </w:r>
          </w:p>
          <w:p w:rsidR="00263BB5" w:rsidRDefault="00263BB5"/>
        </w:tc>
        <w:tc>
          <w:tcPr>
            <w:tcW w:w="6349" w:type="dxa"/>
            <w:tcBorders>
              <w:top w:val="single" w:sz="4" w:space="0" w:color="auto"/>
              <w:left w:val="single" w:sz="4" w:space="0" w:color="auto"/>
              <w:bottom w:val="single" w:sz="4" w:space="0" w:color="auto"/>
              <w:right w:val="single" w:sz="4" w:space="0" w:color="auto"/>
            </w:tcBorders>
            <w:hideMark/>
          </w:tcPr>
          <w:p w:rsidR="00D015AF" w:rsidRPr="00263BB5" w:rsidRDefault="00D015AF" w:rsidP="00263BB5">
            <w:pPr>
              <w:rPr>
                <w:color w:val="FF0000"/>
              </w:rPr>
            </w:pPr>
          </w:p>
        </w:tc>
      </w:tr>
      <w:tr w:rsidR="00D015AF" w:rsidTr="00D015AF">
        <w:trPr>
          <w:jc w:val="center"/>
        </w:trPr>
        <w:tc>
          <w:tcPr>
            <w:tcW w:w="3070" w:type="dxa"/>
            <w:tcBorders>
              <w:top w:val="single" w:sz="4" w:space="0" w:color="auto"/>
              <w:left w:val="single" w:sz="4" w:space="0" w:color="auto"/>
              <w:bottom w:val="single" w:sz="4" w:space="0" w:color="auto"/>
              <w:right w:val="single" w:sz="4" w:space="0" w:color="auto"/>
            </w:tcBorders>
            <w:vAlign w:val="center"/>
            <w:hideMark/>
          </w:tcPr>
          <w:p w:rsidR="00D015AF" w:rsidRDefault="00D015AF">
            <w:r>
              <w:t>Refle</w:t>
            </w:r>
            <w:r w:rsidR="00CC5234">
              <w:t>kt</w:t>
            </w:r>
            <w:r>
              <w:t>ion von ähnlichen Erfahrungen</w:t>
            </w:r>
          </w:p>
        </w:tc>
        <w:tc>
          <w:tcPr>
            <w:tcW w:w="6349" w:type="dxa"/>
            <w:tcBorders>
              <w:top w:val="single" w:sz="4" w:space="0" w:color="auto"/>
              <w:left w:val="single" w:sz="4" w:space="0" w:color="auto"/>
              <w:bottom w:val="single" w:sz="4" w:space="0" w:color="auto"/>
              <w:right w:val="single" w:sz="4" w:space="0" w:color="auto"/>
            </w:tcBorders>
            <w:hideMark/>
          </w:tcPr>
          <w:p w:rsidR="00D015AF" w:rsidRPr="00263BB5" w:rsidRDefault="00D015AF" w:rsidP="00263BB5">
            <w:pPr>
              <w:rPr>
                <w:color w:val="FF0000"/>
              </w:rPr>
            </w:pPr>
          </w:p>
        </w:tc>
      </w:tr>
      <w:bookmarkEnd w:id="0"/>
    </w:tbl>
    <w:p w:rsidR="00D015AF" w:rsidRDefault="00D015AF" w:rsidP="00D015AF">
      <w:pPr>
        <w:spacing w:after="0"/>
      </w:pPr>
    </w:p>
    <w:p w:rsidR="00944158" w:rsidRDefault="00D015AF" w:rsidP="00D015AF">
      <w:pPr>
        <w:jc w:val="both"/>
      </w:pPr>
      <w:r>
        <w:t xml:space="preserve">Auf der Oberflächenebene lassen sich zahlreiche methodische Alternativen diskutieren. </w:t>
      </w:r>
      <w:r w:rsidR="00944158">
        <w:t xml:space="preserve">                                         </w:t>
      </w:r>
      <w:r>
        <w:t xml:space="preserve">So stellt sich die Frage nach dem Grad der Offenheit bei der Planung der Handlung. </w:t>
      </w:r>
    </w:p>
    <w:p w:rsidR="00263BB5" w:rsidRDefault="00D015AF" w:rsidP="00D015AF">
      <w:pPr>
        <w:jc w:val="both"/>
      </w:pPr>
      <w:r>
        <w:t xml:space="preserve">Handlungsspielraum besteht bei der Anordnung der Rollen und dem konkreten Aufbau. </w:t>
      </w:r>
    </w:p>
    <w:p w:rsidR="001A14EB" w:rsidRDefault="00D015AF" w:rsidP="00D015AF">
      <w:pPr>
        <w:jc w:val="both"/>
      </w:pPr>
      <w:r>
        <w:t xml:space="preserve">Die Verwendung des Kraftmessers ist nicht zwingend vorgeschrieben. </w:t>
      </w:r>
      <w:r w:rsidR="00263BB5">
        <w:t xml:space="preserve">Es besteht </w:t>
      </w:r>
      <w:r>
        <w:t>die Möglichkeit, die indirekte Erfahrung über die Kraftmessung zu vermeiden, indem anstatt kleiner Massestücke Gewichte mit spürbarer Belastung (zum Beispiel Wasserflaschen) verwendet werde</w:t>
      </w:r>
      <w:r w:rsidR="001A14EB">
        <w:t>n</w:t>
      </w:r>
      <w:r>
        <w:t xml:space="preserve">. </w:t>
      </w:r>
    </w:p>
    <w:p w:rsidR="001A14EB" w:rsidRDefault="00D015AF" w:rsidP="00D015AF">
      <w:pPr>
        <w:jc w:val="both"/>
      </w:pPr>
      <w:r>
        <w:t xml:space="preserve">Die Konstruktion von Bedeutung kann mündlich </w:t>
      </w:r>
      <w:r w:rsidR="001A14EB">
        <w:t xml:space="preserve">oder schriftlich (z.B. auf Karteikarten) </w:t>
      </w:r>
      <w:r>
        <w:t>erfolgen</w:t>
      </w:r>
      <w:r w:rsidR="001A14EB">
        <w:t xml:space="preserve">. </w:t>
      </w:r>
    </w:p>
    <w:p w:rsidR="001A14EB" w:rsidRDefault="00D015AF" w:rsidP="00D015AF">
      <w:pPr>
        <w:jc w:val="both"/>
      </w:pPr>
      <w:r>
        <w:t xml:space="preserve">Die Lehrkraft soll in dieser Phase nur moderieren und die Schülerinnen und Schüler anregen und </w:t>
      </w:r>
      <w:r w:rsidR="001A14EB">
        <w:t xml:space="preserve">darin </w:t>
      </w:r>
      <w:r>
        <w:t>bestärken</w:t>
      </w:r>
      <w:r w:rsidR="001A14EB">
        <w:t xml:space="preserve">, </w:t>
      </w:r>
      <w:r>
        <w:t>unterschiedlich</w:t>
      </w:r>
      <w:r w:rsidR="001A14EB">
        <w:t xml:space="preserve">e </w:t>
      </w:r>
      <w:r>
        <w:t xml:space="preserve">Erfahrungen zu beschreiben. Dabei ist zu überlegen, ob die Begriffe </w:t>
      </w:r>
      <w:r>
        <w:rPr>
          <w:i/>
        </w:rPr>
        <w:t xml:space="preserve">feste Rolle </w:t>
      </w:r>
      <w:r>
        <w:t>und</w:t>
      </w:r>
      <w:r>
        <w:rPr>
          <w:i/>
        </w:rPr>
        <w:t xml:space="preserve"> lose Rolle</w:t>
      </w:r>
      <w:r>
        <w:t xml:space="preserve"> für die Verbalisierung bereits eingeführt und verwendet werden sollen. Karteikarten erleichtern die anschließende Strukturierung der Erfahrungen. </w:t>
      </w:r>
    </w:p>
    <w:p w:rsidR="005A0259" w:rsidRDefault="005A0259" w:rsidP="00D015AF">
      <w:pPr>
        <w:jc w:val="both"/>
      </w:pPr>
    </w:p>
    <w:p w:rsidR="005A0259" w:rsidRDefault="005A0259" w:rsidP="00D015AF">
      <w:pPr>
        <w:jc w:val="both"/>
      </w:pPr>
    </w:p>
    <w:p w:rsidR="005A0259" w:rsidRDefault="005A0259" w:rsidP="00D015AF">
      <w:pPr>
        <w:jc w:val="both"/>
      </w:pPr>
    </w:p>
    <w:p w:rsidR="00D015AF" w:rsidRDefault="00D015AF" w:rsidP="00D015AF">
      <w:pPr>
        <w:jc w:val="both"/>
      </w:pPr>
      <w:r>
        <w:t>Zur Sicherung kann gemeinsam eine Erfahrungsregel zum Beispiel in Form eines Je-Desto-Satzes formuliert werden</w:t>
      </w:r>
      <w:r w:rsidR="001A14EB">
        <w:t xml:space="preserve">. </w:t>
      </w:r>
      <w:r>
        <w:t xml:space="preserve"> </w:t>
      </w:r>
      <w:r w:rsidR="001A14EB">
        <w:t xml:space="preserve">Alternativ können </w:t>
      </w:r>
      <w:r>
        <w:t xml:space="preserve">die Schüler </w:t>
      </w:r>
      <w:r w:rsidR="001A14EB">
        <w:t>und Schülerinnen</w:t>
      </w:r>
      <w:r>
        <w:t xml:space="preserve"> mit eigenen Worten die gemeinsamen Erfahrungen in ihren Heften zusammenfassen und wechselseitig kontrollieren. Für die Refle</w:t>
      </w:r>
      <w:r w:rsidR="001A14EB">
        <w:t>kt</w:t>
      </w:r>
      <w:r>
        <w:t xml:space="preserve">ion der Erfahrung in anderen Kontexten sollte die Lehrkraft darauf vorbereitet sein, dass dieser Transfer den Schülerinnen und Schülern schwer fällt, und Beispiele parat haben, in denen die Analogien identifiziert werden können. </w:t>
      </w:r>
    </w:p>
    <w:p w:rsidR="001713AD" w:rsidRPr="001713AD" w:rsidRDefault="001713AD" w:rsidP="001713AD">
      <w:pPr>
        <w:spacing w:after="200" w:line="276" w:lineRule="auto"/>
        <w:jc w:val="both"/>
        <w:rPr>
          <w:rFonts w:cstheme="minorHAnsi"/>
          <w:noProof/>
        </w:rPr>
      </w:pPr>
      <w:bookmarkStart w:id="1" w:name="_GoBack"/>
      <w:bookmarkEnd w:id="1"/>
    </w:p>
    <w:sectPr w:rsidR="001713AD" w:rsidRPr="001713A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465" w:rsidRDefault="00C67465" w:rsidP="00C85703">
      <w:pPr>
        <w:spacing w:after="0" w:line="240" w:lineRule="auto"/>
      </w:pPr>
      <w:r>
        <w:separator/>
      </w:r>
    </w:p>
  </w:endnote>
  <w:endnote w:type="continuationSeparator" w:id="0">
    <w:p w:rsidR="00C67465" w:rsidRDefault="00C67465" w:rsidP="00C8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741" w:rsidRDefault="003A574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259" w:rsidRPr="005A0259" w:rsidRDefault="005A0259" w:rsidP="005A0259">
    <w:pPr>
      <w:spacing w:after="200" w:line="276" w:lineRule="auto"/>
      <w:jc w:val="center"/>
      <w:rPr>
        <w:rFonts w:cstheme="minorHAnsi"/>
        <w:noProof/>
        <w:sz w:val="18"/>
        <w:szCs w:val="18"/>
      </w:rPr>
    </w:pPr>
    <w:r w:rsidRPr="005A0259">
      <w:rPr>
        <w:rFonts w:ascii="Calibri" w:eastAsia="+mn-ea" w:hAnsi="Calibri" w:cs="+mn-cs"/>
        <w:color w:val="000000"/>
        <w:kern w:val="24"/>
        <w:sz w:val="18"/>
        <w:szCs w:val="18"/>
      </w:rPr>
      <w:t xml:space="preserve">Krabbe, H., Zander, S. &amp; Fischer, E.H. (2015). </w:t>
    </w:r>
    <w:r w:rsidRPr="005A0259">
      <w:rPr>
        <w:rFonts w:ascii="Calibri" w:eastAsia="+mn-ea" w:hAnsi="Calibri" w:cs="+mn-cs"/>
        <w:i/>
        <w:color w:val="000000"/>
        <w:kern w:val="24"/>
        <w:sz w:val="18"/>
        <w:szCs w:val="18"/>
      </w:rPr>
      <w:t>Lernprozessorientierte Gestaltung von Physikunterricht. Materialien zur Lehrerfortbildung</w:t>
    </w:r>
    <w:r>
      <w:rPr>
        <w:rFonts w:ascii="Calibri" w:eastAsia="+mn-ea" w:hAnsi="Calibri" w:cs="+mn-cs"/>
        <w:i/>
        <w:color w:val="000000"/>
        <w:kern w:val="24"/>
        <w:sz w:val="18"/>
        <w:szCs w:val="18"/>
      </w:rPr>
      <w:t xml:space="preserve"> </w:t>
    </w:r>
    <w:r w:rsidRPr="005A0259">
      <w:rPr>
        <w:rFonts w:ascii="Calibri" w:eastAsia="+mn-ea" w:hAnsi="Calibri" w:cs="+mn-cs"/>
        <w:color w:val="000000"/>
        <w:kern w:val="24"/>
        <w:sz w:val="18"/>
        <w:szCs w:val="18"/>
      </w:rPr>
      <w:t>(S.75f)</w:t>
    </w:r>
    <w:r w:rsidRPr="005A0259">
      <w:rPr>
        <w:rFonts w:ascii="Calibri" w:eastAsia="+mn-ea" w:hAnsi="Calibri" w:cs="+mn-cs"/>
        <w:color w:val="000000"/>
        <w:kern w:val="24"/>
        <w:sz w:val="18"/>
        <w:szCs w:val="18"/>
      </w:rPr>
      <w:t>.</w:t>
    </w:r>
    <w:r w:rsidRPr="005A0259">
      <w:rPr>
        <w:rFonts w:ascii="Calibri" w:eastAsia="+mn-ea" w:hAnsi="Calibri" w:cs="+mn-cs"/>
        <w:i/>
        <w:color w:val="000000"/>
        <w:kern w:val="24"/>
        <w:sz w:val="18"/>
        <w:szCs w:val="18"/>
      </w:rPr>
      <w:t xml:space="preserve"> </w:t>
    </w:r>
    <w:r w:rsidRPr="005A0259">
      <w:rPr>
        <w:rFonts w:ascii="Calibri" w:eastAsia="+mn-ea" w:hAnsi="Calibri" w:cs="+mn-cs"/>
        <w:color w:val="000000"/>
        <w:kern w:val="24"/>
        <w:sz w:val="18"/>
        <w:szCs w:val="18"/>
      </w:rPr>
      <w:t xml:space="preserve">Münster: </w:t>
    </w:r>
    <w:proofErr w:type="spellStart"/>
    <w:r w:rsidRPr="005A0259">
      <w:rPr>
        <w:rFonts w:ascii="Calibri" w:eastAsia="+mn-ea" w:hAnsi="Calibri" w:cs="+mn-cs"/>
        <w:color w:val="000000"/>
        <w:kern w:val="24"/>
        <w:sz w:val="18"/>
        <w:szCs w:val="18"/>
      </w:rPr>
      <w:t>Waxmann</w:t>
    </w:r>
    <w:proofErr w:type="spellEnd"/>
    <w:r w:rsidRPr="005A0259">
      <w:rPr>
        <w:rFonts w:ascii="Calibri" w:eastAsia="+mn-ea" w:hAnsi="Calibri" w:cs="+mn-cs"/>
        <w:color w:val="000000"/>
        <w:kern w:val="24"/>
        <w:sz w:val="18"/>
        <w:szCs w:val="18"/>
      </w:rPr>
      <w:t>.</w:t>
    </w:r>
    <w:bookmarkStart w:id="2" w:name="_Toc309653819"/>
    <w:bookmarkStart w:id="3" w:name="_Toc399658768"/>
    <w:bookmarkStart w:id="4" w:name="_Toc399771992"/>
    <w:bookmarkStart w:id="5" w:name="_Toc399793117"/>
    <w:bookmarkStart w:id="6" w:name="_Toc408308217"/>
    <w:bookmarkStart w:id="7" w:name="_Toc408308957"/>
    <w:bookmarkStart w:id="8" w:name="_Toc408525277"/>
    <w:bookmarkEnd w:id="2"/>
    <w:bookmarkEnd w:id="3"/>
    <w:bookmarkEnd w:id="4"/>
    <w:bookmarkEnd w:id="5"/>
    <w:bookmarkEnd w:id="6"/>
    <w:bookmarkEnd w:id="7"/>
    <w:bookmarkEnd w:id="8"/>
  </w:p>
  <w:p w:rsidR="005A0259" w:rsidRDefault="005A0259">
    <w:pPr>
      <w:pStyle w:val="Fuzeile"/>
    </w:pPr>
  </w:p>
  <w:p w:rsidR="003A5741" w:rsidRDefault="003A574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741" w:rsidRDefault="003A574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465" w:rsidRDefault="00C67465" w:rsidP="00C85703">
      <w:pPr>
        <w:spacing w:after="0" w:line="240" w:lineRule="auto"/>
      </w:pPr>
      <w:r>
        <w:separator/>
      </w:r>
    </w:p>
  </w:footnote>
  <w:footnote w:type="continuationSeparator" w:id="0">
    <w:p w:rsidR="00C67465" w:rsidRDefault="00C67465" w:rsidP="00C85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741" w:rsidRDefault="003A574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703" w:rsidRDefault="00E14C03" w:rsidP="003A5741">
    <w:pPr>
      <w:pStyle w:val="Kopfzeile"/>
      <w:jc w:val="center"/>
    </w:pPr>
    <w:r>
      <w:rPr>
        <w:noProof/>
        <w:lang w:eastAsia="de-DE"/>
      </w:rPr>
      <w:drawing>
        <wp:inline distT="0" distB="0" distL="0" distR="0" wp14:anchorId="5FBFEAB1" wp14:editId="73AB761F">
          <wp:extent cx="1202872" cy="321297"/>
          <wp:effectExtent l="0" t="0" r="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36916" cy="383812"/>
                  </a:xfrm>
                  <a:prstGeom prst="rect">
                    <a:avLst/>
                  </a:prstGeom>
                </pic:spPr>
              </pic:pic>
            </a:graphicData>
          </a:graphic>
        </wp:inline>
      </w:drawing>
    </w:r>
    <w:r>
      <w:ptab w:relativeTo="margin" w:alignment="center" w:leader="none"/>
    </w:r>
    <w:r w:rsidR="009A013E">
      <w:t xml:space="preserve">            </w:t>
    </w:r>
    <w:r w:rsidR="003A5741">
      <w:t xml:space="preserve">Materialien zur Gestaltung der Fortbildung                  </w:t>
    </w:r>
    <w:r>
      <w:rPr>
        <w:noProof/>
        <w:lang w:eastAsia="de-DE"/>
      </w:rPr>
      <w:drawing>
        <wp:inline distT="0" distB="0" distL="0" distR="0" wp14:anchorId="6FBEEB4B" wp14:editId="0DB0E3F2">
          <wp:extent cx="1159328" cy="428793"/>
          <wp:effectExtent l="0" t="0" r="317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27672" cy="49105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741" w:rsidRDefault="003A574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3627C"/>
    <w:multiLevelType w:val="hybridMultilevel"/>
    <w:tmpl w:val="26A4D37E"/>
    <w:lvl w:ilvl="0" w:tplc="6CA0ABBE">
      <w:start w:val="1"/>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5EB921AD"/>
    <w:multiLevelType w:val="hybridMultilevel"/>
    <w:tmpl w:val="DD5CA44C"/>
    <w:lvl w:ilvl="0" w:tplc="64FEC4A8">
      <w:start w:val="1"/>
      <w:numFmt w:val="lowerLetter"/>
      <w:lvlText w:val="%1)"/>
      <w:lvlJc w:val="left"/>
      <w:pPr>
        <w:ind w:left="420" w:hanging="360"/>
      </w:pPr>
    </w:lvl>
    <w:lvl w:ilvl="1" w:tplc="04070019">
      <w:start w:val="1"/>
      <w:numFmt w:val="lowerLetter"/>
      <w:lvlText w:val="%2."/>
      <w:lvlJc w:val="left"/>
      <w:pPr>
        <w:ind w:left="1140" w:hanging="360"/>
      </w:pPr>
    </w:lvl>
    <w:lvl w:ilvl="2" w:tplc="0407001B">
      <w:start w:val="1"/>
      <w:numFmt w:val="lowerRoman"/>
      <w:lvlText w:val="%3."/>
      <w:lvlJc w:val="right"/>
      <w:pPr>
        <w:ind w:left="1860" w:hanging="180"/>
      </w:pPr>
    </w:lvl>
    <w:lvl w:ilvl="3" w:tplc="0407000F">
      <w:start w:val="1"/>
      <w:numFmt w:val="decimal"/>
      <w:lvlText w:val="%4."/>
      <w:lvlJc w:val="left"/>
      <w:pPr>
        <w:ind w:left="2580" w:hanging="360"/>
      </w:pPr>
    </w:lvl>
    <w:lvl w:ilvl="4" w:tplc="04070019">
      <w:start w:val="1"/>
      <w:numFmt w:val="lowerLetter"/>
      <w:lvlText w:val="%5."/>
      <w:lvlJc w:val="left"/>
      <w:pPr>
        <w:ind w:left="3300" w:hanging="360"/>
      </w:pPr>
    </w:lvl>
    <w:lvl w:ilvl="5" w:tplc="0407001B">
      <w:start w:val="1"/>
      <w:numFmt w:val="lowerRoman"/>
      <w:lvlText w:val="%6."/>
      <w:lvlJc w:val="right"/>
      <w:pPr>
        <w:ind w:left="4020" w:hanging="180"/>
      </w:pPr>
    </w:lvl>
    <w:lvl w:ilvl="6" w:tplc="0407000F">
      <w:start w:val="1"/>
      <w:numFmt w:val="decimal"/>
      <w:lvlText w:val="%7."/>
      <w:lvlJc w:val="left"/>
      <w:pPr>
        <w:ind w:left="4740" w:hanging="360"/>
      </w:pPr>
    </w:lvl>
    <w:lvl w:ilvl="7" w:tplc="04070019">
      <w:start w:val="1"/>
      <w:numFmt w:val="lowerLetter"/>
      <w:lvlText w:val="%8."/>
      <w:lvlJc w:val="left"/>
      <w:pPr>
        <w:ind w:left="5460" w:hanging="360"/>
      </w:pPr>
    </w:lvl>
    <w:lvl w:ilvl="8" w:tplc="0407001B">
      <w:start w:val="1"/>
      <w:numFmt w:val="lowerRoman"/>
      <w:lvlText w:val="%9."/>
      <w:lvlJc w:val="right"/>
      <w:pPr>
        <w:ind w:left="61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703"/>
    <w:rsid w:val="00074CC0"/>
    <w:rsid w:val="000A799B"/>
    <w:rsid w:val="001713AD"/>
    <w:rsid w:val="00181996"/>
    <w:rsid w:val="001A14EB"/>
    <w:rsid w:val="00263BB5"/>
    <w:rsid w:val="002C5B9A"/>
    <w:rsid w:val="002F372D"/>
    <w:rsid w:val="00317F7B"/>
    <w:rsid w:val="003A5741"/>
    <w:rsid w:val="0048142E"/>
    <w:rsid w:val="005A0259"/>
    <w:rsid w:val="00641B27"/>
    <w:rsid w:val="006C24BA"/>
    <w:rsid w:val="006F4AA0"/>
    <w:rsid w:val="007F049A"/>
    <w:rsid w:val="0082177E"/>
    <w:rsid w:val="00927062"/>
    <w:rsid w:val="00944158"/>
    <w:rsid w:val="00964853"/>
    <w:rsid w:val="009A013E"/>
    <w:rsid w:val="00A223A8"/>
    <w:rsid w:val="00B67360"/>
    <w:rsid w:val="00BC199F"/>
    <w:rsid w:val="00C67465"/>
    <w:rsid w:val="00C85703"/>
    <w:rsid w:val="00CC5234"/>
    <w:rsid w:val="00D015AF"/>
    <w:rsid w:val="00D40B98"/>
    <w:rsid w:val="00E14C03"/>
    <w:rsid w:val="00E81E9C"/>
    <w:rsid w:val="00EE5675"/>
    <w:rsid w:val="00F030F7"/>
    <w:rsid w:val="00F71F66"/>
    <w:rsid w:val="00F911E5"/>
    <w:rsid w:val="00FC24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4B37"/>
  <w15:docId w15:val="{45A5FD9B-644E-4EF0-B2D1-1FD2B4A37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57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5703"/>
  </w:style>
  <w:style w:type="paragraph" w:styleId="Fuzeile">
    <w:name w:val="footer"/>
    <w:basedOn w:val="Standard"/>
    <w:link w:val="FuzeileZchn"/>
    <w:uiPriority w:val="99"/>
    <w:unhideWhenUsed/>
    <w:rsid w:val="00C857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5703"/>
  </w:style>
  <w:style w:type="table" w:styleId="Tabellenraster">
    <w:name w:val="Table Grid"/>
    <w:basedOn w:val="NormaleTabelle"/>
    <w:uiPriority w:val="59"/>
    <w:rsid w:val="00E14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015AF"/>
    <w:pPr>
      <w:spacing w:after="200" w:line="276" w:lineRule="auto"/>
      <w:ind w:left="720"/>
      <w:contextualSpacing/>
      <w:jc w:val="both"/>
    </w:pPr>
    <w:rPr>
      <w:rFonts w:eastAsia="Calibri" w:cs="Times New Roman"/>
      <w:sz w:val="24"/>
    </w:rPr>
  </w:style>
  <w:style w:type="paragraph" w:styleId="Sprechblasentext">
    <w:name w:val="Balloon Text"/>
    <w:basedOn w:val="Standard"/>
    <w:link w:val="SprechblasentextZchn"/>
    <w:uiPriority w:val="99"/>
    <w:semiHidden/>
    <w:unhideWhenUsed/>
    <w:rsid w:val="00E81E9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1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2794">
      <w:bodyDiv w:val="1"/>
      <w:marLeft w:val="0"/>
      <w:marRight w:val="0"/>
      <w:marTop w:val="0"/>
      <w:marBottom w:val="0"/>
      <w:divBdr>
        <w:top w:val="none" w:sz="0" w:space="0" w:color="auto"/>
        <w:left w:val="none" w:sz="0" w:space="0" w:color="auto"/>
        <w:bottom w:val="none" w:sz="0" w:space="0" w:color="auto"/>
        <w:right w:val="none" w:sz="0" w:space="0" w:color="auto"/>
      </w:divBdr>
    </w:div>
    <w:div w:id="870917184">
      <w:bodyDiv w:val="1"/>
      <w:marLeft w:val="0"/>
      <w:marRight w:val="0"/>
      <w:marTop w:val="0"/>
      <w:marBottom w:val="0"/>
      <w:divBdr>
        <w:top w:val="none" w:sz="0" w:space="0" w:color="auto"/>
        <w:left w:val="none" w:sz="0" w:space="0" w:color="auto"/>
        <w:bottom w:val="none" w:sz="0" w:space="0" w:color="auto"/>
        <w:right w:val="none" w:sz="0" w:space="0" w:color="auto"/>
      </w:divBdr>
    </w:div>
    <w:div w:id="9586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92B31-49C1-4C86-94A5-402336659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2315</Characters>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2020-07-30T12:21:00Z</dcterms:created>
  <dcterms:modified xsi:type="dcterms:W3CDTF">2020-07-30T12:21:00Z</dcterms:modified>
</cp:coreProperties>
</file>