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94" w:rsidRPr="00614256" w:rsidRDefault="004557DC" w:rsidP="00137CF2">
      <w:pPr>
        <w:rPr>
          <w:rFonts w:ascii="Arial" w:hAnsi="Arial" w:cs="Arial"/>
          <w:b/>
          <w:bCs/>
          <w:szCs w:val="28"/>
        </w:rPr>
      </w:pPr>
      <w:r>
        <w:rPr>
          <w:rFonts w:ascii="Arial" w:hAnsi="Arial" w:cs="Arial"/>
          <w:b/>
          <w:bCs/>
          <w:noProof/>
          <w:sz w:val="28"/>
          <w:szCs w:val="28"/>
          <w:lang w:eastAsia="de-DE"/>
        </w:rPr>
        <mc:AlternateContent>
          <mc:Choice Requires="wpg">
            <w:drawing>
              <wp:anchor distT="0" distB="0" distL="114300" distR="114300" simplePos="0" relativeHeight="251650048" behindDoc="0" locked="0" layoutInCell="1" allowOverlap="1">
                <wp:simplePos x="0" y="0"/>
                <wp:positionH relativeFrom="column">
                  <wp:posOffset>2617076</wp:posOffset>
                </wp:positionH>
                <wp:positionV relativeFrom="paragraph">
                  <wp:posOffset>0</wp:posOffset>
                </wp:positionV>
                <wp:extent cx="9177507" cy="474338"/>
                <wp:effectExtent l="0" t="0" r="24130" b="21590"/>
                <wp:wrapNone/>
                <wp:docPr id="3" name="Gruppieren 3"/>
                <wp:cNvGraphicFramePr/>
                <a:graphic xmlns:a="http://schemas.openxmlformats.org/drawingml/2006/main">
                  <a:graphicData uri="http://schemas.microsoft.com/office/word/2010/wordprocessingGroup">
                    <wpg:wgp>
                      <wpg:cNvGrpSpPr/>
                      <wpg:grpSpPr>
                        <a:xfrm>
                          <a:off x="0" y="0"/>
                          <a:ext cx="9177507" cy="474338"/>
                          <a:chOff x="0" y="0"/>
                          <a:chExt cx="9177507" cy="474338"/>
                        </a:xfrm>
                      </wpg:grpSpPr>
                      <wps:wsp>
                        <wps:cNvPr id="12" name="Textfeld 12"/>
                        <wps:cNvSpPr txBox="1"/>
                        <wps:spPr>
                          <a:xfrm>
                            <a:off x="7157545" y="0"/>
                            <a:ext cx="2019962" cy="458572"/>
                          </a:xfrm>
                          <a:prstGeom prst="rect">
                            <a:avLst/>
                          </a:prstGeom>
                          <a:solidFill>
                            <a:schemeClr val="accent5">
                              <a:lumMod val="20000"/>
                              <a:lumOff val="80000"/>
                            </a:schemeClr>
                          </a:solidFill>
                          <a:ln w="6350">
                            <a:solidFill>
                              <a:prstClr val="black"/>
                            </a:solidFill>
                          </a:ln>
                          <a:effectLst/>
                        </wps:spPr>
                        <wps:txbx>
                          <w:txbxContent>
                            <w:p w:rsidR="000B6F9A" w:rsidRPr="000B6F9A" w:rsidRDefault="000B6F9A" w:rsidP="004557DC">
                              <w:pPr>
                                <w:spacing w:before="60" w:after="0"/>
                                <w:jc w:val="center"/>
                                <w:rPr>
                                  <w:rFonts w:ascii="Arial" w:hAnsi="Arial" w:cs="Arial"/>
                                </w:rPr>
                              </w:pPr>
                              <w:r>
                                <w:rPr>
                                  <w:rFonts w:ascii="Arial" w:hAnsi="Arial" w:cs="Arial"/>
                                </w:rPr>
                                <w:t>Bewertung</w:t>
                              </w:r>
                              <w:r w:rsidR="00C16B3E">
                                <w:rPr>
                                  <w:rFonts w:ascii="Arial" w:hAnsi="Arial" w:cs="Arial"/>
                                </w:rPr>
                                <w:b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349062" y="15766"/>
                            <a:ext cx="2019962" cy="458572"/>
                          </a:xfrm>
                          <a:prstGeom prst="rect">
                            <a:avLst/>
                          </a:prstGeom>
                          <a:solidFill>
                            <a:srgbClr val="FFD1D1"/>
                          </a:solidFill>
                          <a:ln w="6350">
                            <a:solidFill>
                              <a:prstClr val="black"/>
                            </a:solidFill>
                          </a:ln>
                          <a:effectLst/>
                        </wps:spPr>
                        <wps:txbx>
                          <w:txbxContent>
                            <w:p w:rsidR="000B6F9A" w:rsidRPr="000B6F9A" w:rsidRDefault="00B91E16" w:rsidP="004557DC">
                              <w:pPr>
                                <w:spacing w:before="60" w:after="0"/>
                                <w:jc w:val="center"/>
                                <w:rPr>
                                  <w:rFonts w:ascii="Arial" w:hAnsi="Arial" w:cs="Arial"/>
                                </w:rPr>
                              </w:pPr>
                              <w:r>
                                <w:rPr>
                                  <w:rFonts w:ascii="Arial" w:hAnsi="Arial" w:cs="Arial"/>
                                </w:rPr>
                                <w:t>Erkenntnis</w:t>
                              </w:r>
                              <w:r w:rsidR="000B6F9A" w:rsidRPr="000B6F9A">
                                <w:rPr>
                                  <w:rFonts w:ascii="Arial" w:hAnsi="Arial" w:cs="Arial"/>
                                </w:rPr>
                                <w:t>gewinnung</w:t>
                              </w:r>
                              <w:r w:rsidR="00C16B3E">
                                <w:rPr>
                                  <w:rFonts w:ascii="Arial" w:hAnsi="Arial" w:cs="Arial"/>
                                </w:rPr>
                                <w:t xml:space="preserve"> </w:t>
                              </w:r>
                              <w:r>
                                <w:rPr>
                                  <w:rFonts w:ascii="Arial" w:hAnsi="Arial" w:cs="Arial"/>
                                </w:rPr>
                                <w:br/>
                              </w:r>
                              <w:r w:rsidR="00C16B3E">
                                <w:rPr>
                                  <w:rFonts w:ascii="Arial" w:hAnsi="Arial" w:cs="Ari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4761186" y="15766"/>
                            <a:ext cx="2019962" cy="458572"/>
                          </a:xfrm>
                          <a:prstGeom prst="rect">
                            <a:avLst/>
                          </a:prstGeom>
                          <a:solidFill>
                            <a:schemeClr val="accent6">
                              <a:lumMod val="20000"/>
                              <a:lumOff val="80000"/>
                            </a:schemeClr>
                          </a:solidFill>
                          <a:ln w="6350">
                            <a:solidFill>
                              <a:prstClr val="black"/>
                            </a:solidFill>
                          </a:ln>
                          <a:effectLst/>
                        </wps:spPr>
                        <wps:txbx>
                          <w:txbxContent>
                            <w:p w:rsidR="000B6F9A" w:rsidRPr="000B6F9A" w:rsidRDefault="000B6F9A" w:rsidP="004557DC">
                              <w:pPr>
                                <w:spacing w:before="60" w:after="0"/>
                                <w:jc w:val="center"/>
                                <w:rPr>
                                  <w:rFonts w:ascii="Arial" w:hAnsi="Arial" w:cs="Arial"/>
                                </w:rPr>
                              </w:pPr>
                              <w:r>
                                <w:rPr>
                                  <w:rFonts w:ascii="Arial" w:hAnsi="Arial" w:cs="Arial"/>
                                </w:rPr>
                                <w:t>Kommunikation</w:t>
                              </w:r>
                              <w:r w:rsidR="00C16B3E">
                                <w:rPr>
                                  <w:rFonts w:ascii="Arial" w:hAnsi="Arial" w:cs="Arial"/>
                                </w:rPr>
                                <w:b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0" y="0"/>
                            <a:ext cx="2019962" cy="458573"/>
                          </a:xfrm>
                          <a:prstGeom prst="rect">
                            <a:avLst/>
                          </a:prstGeom>
                          <a:solidFill>
                            <a:schemeClr val="accent4">
                              <a:lumMod val="20000"/>
                              <a:lumOff val="80000"/>
                            </a:schemeClr>
                          </a:solidFill>
                          <a:ln w="6350">
                            <a:solidFill>
                              <a:prstClr val="black"/>
                            </a:solidFill>
                          </a:ln>
                          <a:effectLst/>
                        </wps:spPr>
                        <wps:txbx>
                          <w:txbxContent>
                            <w:p w:rsidR="0057650C" w:rsidRPr="000B6F9A" w:rsidRDefault="0057650C" w:rsidP="004557DC">
                              <w:pPr>
                                <w:spacing w:before="60" w:after="0"/>
                                <w:jc w:val="center"/>
                                <w:rPr>
                                  <w:rFonts w:ascii="Arial" w:hAnsi="Arial" w:cs="Arial"/>
                                </w:rPr>
                              </w:pPr>
                              <w:r>
                                <w:rPr>
                                  <w:rFonts w:ascii="Arial" w:hAnsi="Arial" w:cs="Arial"/>
                                </w:rPr>
                                <w:t>Umgang mit</w:t>
                              </w:r>
                              <w:r w:rsidR="00B91E16">
                                <w:rPr>
                                  <w:rFonts w:ascii="Arial" w:hAnsi="Arial" w:cs="Arial"/>
                                </w:rPr>
                                <w:t xml:space="preserve"> </w:t>
                              </w:r>
                              <w:r>
                                <w:rPr>
                                  <w:rFonts w:ascii="Arial" w:hAnsi="Arial" w:cs="Arial"/>
                                </w:rPr>
                                <w:t>Fachwissen</w:t>
                              </w:r>
                              <w:r w:rsidR="00C16B3E">
                                <w:rPr>
                                  <w:rFonts w:ascii="Arial" w:hAnsi="Arial" w:cs="Arial"/>
                                </w:rPr>
                                <w:t xml:space="preserve"> (UF)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3" o:spid="_x0000_s1026" style="position:absolute;margin-left:206.05pt;margin-top:0;width:722.65pt;height:37.35pt;z-index:251650048" coordsize="91775,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">
                <v:shapetype id="_x0000_t202" coordsize="21600,21600" o:spt="202" path="m,l,21600r21600,l21600,xe">
                  <v:stroke joinstyle="miter"/>
                  <v:path gradientshapeok="t" o:connecttype="rect"/>
                </v:shapetype>
                <v:shape id="Textfeld 12" o:spid="_x0000_s1027" type="#_x0000_t202" style="position:absolute;left:71575;width:20200;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uc8IA&#10;AADbAAAADwAAAGRycy9kb3ducmV2LnhtbERP22rCQBB9F/oPyxT6UnRTlVBiNlKElmIFrfoBQ3Zy&#10;qdnZkN0m8e/dQsG3OZzrpOvRNKKnztWWFbzMIhDEudU1lwrOp/fpKwjnkTU2lknBlRyss4dJiom2&#10;A39Tf/SlCCHsElRQed8mUrq8IoNuZlviwBW2M+gD7EqpOxxCuGnkPIpiabDm0FBhS5uK8svx1yhY&#10;fJjNYZlHxXOxdz/8VcYXt9sq9fQ4vq1AeBr9Xfzv/tRh/hz+fg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G5zwgAAANsAAAAPAAAAAAAAAAAAAAAAAJgCAABkcnMvZG93&#10;bnJldi54bWxQSwUGAAAAAAQABAD1AAAAhwMAAAAA&#10;" fillcolor="#d9e2f3 [664]" strokeweight=".5pt">
                  <v:textbox>
                    <w:txbxContent>
                      <w:p w:rsidR="000B6F9A" w:rsidRPr="000B6F9A" w:rsidRDefault="000B6F9A" w:rsidP="004557DC">
                        <w:pPr>
                          <w:spacing w:before="60" w:after="0"/>
                          <w:jc w:val="center"/>
                          <w:rPr>
                            <w:rFonts w:ascii="Arial" w:hAnsi="Arial" w:cs="Arial"/>
                          </w:rPr>
                        </w:pPr>
                        <w:r>
                          <w:rPr>
                            <w:rFonts w:ascii="Arial" w:hAnsi="Arial" w:cs="Arial"/>
                          </w:rPr>
                          <w:t>Bewertung</w:t>
                        </w:r>
                        <w:r w:rsidR="00C16B3E">
                          <w:rPr>
                            <w:rFonts w:ascii="Arial" w:hAnsi="Arial" w:cs="Arial"/>
                          </w:rPr>
                          <w:br/>
                          <w:t>(B)</w:t>
                        </w:r>
                      </w:p>
                    </w:txbxContent>
                  </v:textbox>
                </v:shape>
                <v:shape id="Textfeld 9" o:spid="_x0000_s1028" type="#_x0000_t202" style="position:absolute;left:23490;top:157;width:20200;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fMMA&#10;AADaAAAADwAAAGRycy9kb3ducmV2LnhtbESPQWvCQBSE7wX/w/IEb3VjLaFGVxHFUgoetCIeH9ln&#10;Esy+TXdXE/99tyB4HGbmG2a26EwtbuR8ZVnBaJiAIM6trrhQcPjZvH6A8AFZY22ZFNzJw2Lee5lh&#10;pm3LO7rtQyEihH2GCsoQmkxKn5dk0A9tQxy9s3UGQ5SukNphG+Gmlm9JkkqDFceFEhtalZRf9lej&#10;YHw3n6fv9temWyfTHb2v3bFeKzXod8spiEBdeIYf7S+tYAL/V+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1/fMMAAADaAAAADwAAAAAAAAAAAAAAAACYAgAAZHJzL2Rv&#10;d25yZXYueG1sUEsFBgAAAAAEAAQA9QAAAIgDAAAAAA==&#10;" fillcolor="#ffd1d1" strokeweight=".5pt">
                  <v:textbox>
                    <w:txbxContent>
                      <w:p w:rsidR="000B6F9A" w:rsidRPr="000B6F9A" w:rsidRDefault="00B91E16" w:rsidP="004557DC">
                        <w:pPr>
                          <w:spacing w:before="60" w:after="0"/>
                          <w:jc w:val="center"/>
                          <w:rPr>
                            <w:rFonts w:ascii="Arial" w:hAnsi="Arial" w:cs="Arial"/>
                          </w:rPr>
                        </w:pPr>
                        <w:r>
                          <w:rPr>
                            <w:rFonts w:ascii="Arial" w:hAnsi="Arial" w:cs="Arial"/>
                          </w:rPr>
                          <w:t>Erkenntnis</w:t>
                        </w:r>
                        <w:r w:rsidR="000B6F9A" w:rsidRPr="000B6F9A">
                          <w:rPr>
                            <w:rFonts w:ascii="Arial" w:hAnsi="Arial" w:cs="Arial"/>
                          </w:rPr>
                          <w:t>gewinnung</w:t>
                        </w:r>
                        <w:r w:rsidR="00C16B3E">
                          <w:rPr>
                            <w:rFonts w:ascii="Arial" w:hAnsi="Arial" w:cs="Arial"/>
                          </w:rPr>
                          <w:t xml:space="preserve"> </w:t>
                        </w:r>
                        <w:r>
                          <w:rPr>
                            <w:rFonts w:ascii="Arial" w:hAnsi="Arial" w:cs="Arial"/>
                          </w:rPr>
                          <w:br/>
                        </w:r>
                        <w:r w:rsidR="00C16B3E">
                          <w:rPr>
                            <w:rFonts w:ascii="Arial" w:hAnsi="Arial" w:cs="Arial"/>
                          </w:rPr>
                          <w:t>(E)</w:t>
                        </w:r>
                      </w:p>
                    </w:txbxContent>
                  </v:textbox>
                </v:shape>
                <v:shape id="Textfeld 13" o:spid="_x0000_s1029" type="#_x0000_t202" style="position:absolute;left:47611;top:157;width:20200;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rFMsIA&#10;AADbAAAADwAAAGRycy9kb3ducmV2LnhtbERPzWrCQBC+C32HZQq9iG6sYCW6SpUGFLw07QOM2WkS&#10;zM6G3dWkPr0rCN7m4/ud5bo3jbiQ87VlBZNxAoK4sLrmUsHvTzaag/ABWWNjmRT8k4f16mWwxFTb&#10;jr/pkodSxBD2KSqoQmhTKX1RkUE/ti1x5P6sMxgidKXUDrsYbhr5niQzabDm2FBhS9uKilN+Ngqy&#10;+XVY4zbfJ9np+NFtenf4mhyVenvtPxcgAvXhKX64dzrOn8L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sUywgAAANsAAAAPAAAAAAAAAAAAAAAAAJgCAABkcnMvZG93&#10;bnJldi54bWxQSwUGAAAAAAQABAD1AAAAhwMAAAAA&#10;" fillcolor="#e2efd9 [665]" strokeweight=".5pt">
                  <v:textbox>
                    <w:txbxContent>
                      <w:p w:rsidR="000B6F9A" w:rsidRPr="000B6F9A" w:rsidRDefault="000B6F9A" w:rsidP="004557DC">
                        <w:pPr>
                          <w:spacing w:before="60" w:after="0"/>
                          <w:jc w:val="center"/>
                          <w:rPr>
                            <w:rFonts w:ascii="Arial" w:hAnsi="Arial" w:cs="Arial"/>
                          </w:rPr>
                        </w:pPr>
                        <w:r>
                          <w:rPr>
                            <w:rFonts w:ascii="Arial" w:hAnsi="Arial" w:cs="Arial"/>
                          </w:rPr>
                          <w:t>Kommunikation</w:t>
                        </w:r>
                        <w:r w:rsidR="00C16B3E">
                          <w:rPr>
                            <w:rFonts w:ascii="Arial" w:hAnsi="Arial" w:cs="Arial"/>
                          </w:rPr>
                          <w:br/>
                          <w:t>(K)</w:t>
                        </w:r>
                      </w:p>
                    </w:txbxContent>
                  </v:textbox>
                </v:shape>
                <v:shape id="Textfeld 14" o:spid="_x0000_s1030" type="#_x0000_t202" style="position:absolute;width:2019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xOMIA&#10;AADbAAAADwAAAGRycy9kb3ducmV2LnhtbERPTWsCMRC9F/wPYQQvRbNKKWU1imgFD4WiK56HzbhZ&#10;N5ksm1TX/vqmUOhtHu9zFqveWXGjLtSeFUwnGQji0uuaKwWnYjd+AxEiskbrmRQ8KMBqOXhaYK79&#10;nQ90O8ZKpBAOOSowMba5lKE05DBMfEucuIvvHMYEu0rqDu8p3Fk5y7JX6bDm1GCwpY2hsjl+OQVF&#10;szOf2/fiuT/Y78aezbb6uFyVGg379RxEpD7+i//ce53mv8DvL+k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jE4wgAAANsAAAAPAAAAAAAAAAAAAAAAAJgCAABkcnMvZG93&#10;bnJldi54bWxQSwUGAAAAAAQABAD1AAAAhwMAAAAA&#10;" fillcolor="#fff2cc [663]" strokeweight=".5pt">
                  <v:textbox>
                    <w:txbxContent>
                      <w:p w:rsidR="0057650C" w:rsidRPr="000B6F9A" w:rsidRDefault="0057650C" w:rsidP="004557DC">
                        <w:pPr>
                          <w:spacing w:before="60" w:after="0"/>
                          <w:jc w:val="center"/>
                          <w:rPr>
                            <w:rFonts w:ascii="Arial" w:hAnsi="Arial" w:cs="Arial"/>
                          </w:rPr>
                        </w:pPr>
                        <w:r>
                          <w:rPr>
                            <w:rFonts w:ascii="Arial" w:hAnsi="Arial" w:cs="Arial"/>
                          </w:rPr>
                          <w:t>Umgang mit</w:t>
                        </w:r>
                        <w:r w:rsidR="00B91E16">
                          <w:rPr>
                            <w:rFonts w:ascii="Arial" w:hAnsi="Arial" w:cs="Arial"/>
                          </w:rPr>
                          <w:t xml:space="preserve"> </w:t>
                        </w:r>
                        <w:r>
                          <w:rPr>
                            <w:rFonts w:ascii="Arial" w:hAnsi="Arial" w:cs="Arial"/>
                          </w:rPr>
                          <w:t>Fachwissen</w:t>
                        </w:r>
                        <w:r w:rsidR="00C16B3E">
                          <w:rPr>
                            <w:rFonts w:ascii="Arial" w:hAnsi="Arial" w:cs="Arial"/>
                          </w:rPr>
                          <w:t xml:space="preserve"> (UF)</w:t>
                        </w:r>
                      </w:p>
                    </w:txbxContent>
                  </v:textbox>
                </v:shape>
              </v:group>
            </w:pict>
          </mc:Fallback>
        </mc:AlternateContent>
      </w:r>
      <w:r w:rsidR="00541852" w:rsidRPr="00191694">
        <w:rPr>
          <w:rFonts w:ascii="Arial" w:hAnsi="Arial" w:cs="Arial"/>
          <w:b/>
          <w:bCs/>
          <w:sz w:val="28"/>
          <w:szCs w:val="28"/>
        </w:rPr>
        <w:t xml:space="preserve">Inhaltsfeld </w:t>
      </w:r>
      <w:r w:rsidR="00137CF2">
        <w:rPr>
          <w:rFonts w:ascii="Arial" w:hAnsi="Arial" w:cs="Arial"/>
          <w:b/>
          <w:bCs/>
          <w:sz w:val="28"/>
          <w:szCs w:val="28"/>
        </w:rPr>
        <w:t>4</w:t>
      </w:r>
      <w:r w:rsidR="00541852" w:rsidRPr="00191694">
        <w:rPr>
          <w:rFonts w:ascii="Arial" w:hAnsi="Arial" w:cs="Arial"/>
          <w:b/>
          <w:bCs/>
          <w:sz w:val="28"/>
          <w:szCs w:val="28"/>
        </w:rPr>
        <w:t xml:space="preserve">: </w:t>
      </w:r>
      <w:r w:rsidR="00137CF2">
        <w:rPr>
          <w:rFonts w:ascii="Arial" w:hAnsi="Arial" w:cs="Arial"/>
          <w:b/>
          <w:bCs/>
          <w:sz w:val="28"/>
          <w:szCs w:val="28"/>
        </w:rPr>
        <w:t>Neurobiologie</w:t>
      </w:r>
    </w:p>
    <w:p w:rsidR="00FF610A" w:rsidRDefault="00FF610A" w:rsidP="00191694">
      <w:pPr>
        <w:spacing w:after="0"/>
        <w:rPr>
          <w:rFonts w:ascii="Arial" w:hAnsi="Arial" w:cs="Arial"/>
          <w:b/>
          <w:bCs/>
          <w:sz w:val="28"/>
          <w:szCs w:val="28"/>
        </w:rPr>
      </w:pPr>
    </w:p>
    <w:p w:rsidR="00D45995" w:rsidRPr="00191694" w:rsidRDefault="00D45995" w:rsidP="00191694">
      <w:pPr>
        <w:spacing w:after="0"/>
        <w:rPr>
          <w:rFonts w:ascii="Arial" w:hAnsi="Arial" w:cs="Arial"/>
          <w:b/>
          <w:bCs/>
          <w:sz w:val="28"/>
          <w:szCs w:val="28"/>
        </w:rPr>
      </w:pPr>
    </w:p>
    <w:p w:rsidR="00541852" w:rsidRDefault="00F81A21" w:rsidP="00191694">
      <w:pPr>
        <w:spacing w:after="0"/>
        <w:rPr>
          <w:rFonts w:ascii="Arial" w:hAnsi="Arial" w:cs="Arial"/>
          <w:b/>
          <w:bCs/>
          <w:sz w:val="24"/>
          <w:szCs w:val="23"/>
        </w:rPr>
      </w:pPr>
      <w:proofErr w:type="spellStart"/>
      <w:r w:rsidRPr="000B6F9A">
        <w:rPr>
          <w:rFonts w:ascii="Arial" w:hAnsi="Arial" w:cs="Arial"/>
          <w:b/>
          <w:bCs/>
          <w:sz w:val="24"/>
          <w:szCs w:val="23"/>
        </w:rPr>
        <w:t>SuS</w:t>
      </w:r>
      <w:proofErr w:type="spellEnd"/>
      <w:r w:rsidR="00191694">
        <w:rPr>
          <w:rFonts w:ascii="Arial" w:hAnsi="Arial" w:cs="Arial"/>
          <w:b/>
          <w:bCs/>
          <w:sz w:val="24"/>
          <w:szCs w:val="23"/>
        </w:rPr>
        <w:tab/>
      </w:r>
      <w:r w:rsidR="00191694">
        <w:rPr>
          <w:rFonts w:ascii="Arial" w:hAnsi="Arial" w:cs="Arial"/>
          <w:b/>
          <w:bCs/>
          <w:sz w:val="24"/>
          <w:szCs w:val="23"/>
        </w:rPr>
        <w:tab/>
      </w:r>
      <w:r w:rsidR="0076744F">
        <w:rPr>
          <w:rFonts w:ascii="Arial" w:hAnsi="Arial" w:cs="Arial"/>
          <w:b/>
          <w:bCs/>
          <w:sz w:val="24"/>
          <w:szCs w:val="23"/>
        </w:rPr>
        <w:tab/>
      </w:r>
      <w:r w:rsidR="00191694">
        <w:rPr>
          <w:rFonts w:ascii="Arial" w:hAnsi="Arial" w:cs="Arial"/>
          <w:b/>
          <w:bCs/>
          <w:sz w:val="24"/>
          <w:szCs w:val="23"/>
        </w:rPr>
        <w:t xml:space="preserve">im </w:t>
      </w:r>
      <w:r w:rsidR="00191694" w:rsidRPr="000B6F9A">
        <w:rPr>
          <w:rFonts w:ascii="Arial" w:hAnsi="Arial" w:cs="Arial"/>
          <w:b/>
          <w:bCs/>
          <w:sz w:val="24"/>
          <w:szCs w:val="23"/>
        </w:rPr>
        <w:t>Grundkurs</w:t>
      </w:r>
      <w:r w:rsidR="00191694">
        <w:rPr>
          <w:rFonts w:ascii="Arial" w:hAnsi="Arial" w:cs="Arial"/>
          <w:b/>
          <w:bCs/>
          <w:sz w:val="24"/>
          <w:szCs w:val="23"/>
        </w:rPr>
        <w:t xml:space="preserve"> (KLP S. 3</w:t>
      </w:r>
      <w:r w:rsidR="00137CF2">
        <w:rPr>
          <w:rFonts w:ascii="Arial" w:hAnsi="Arial" w:cs="Arial"/>
          <w:b/>
          <w:bCs/>
          <w:sz w:val="24"/>
          <w:szCs w:val="23"/>
        </w:rPr>
        <w:t>0</w:t>
      </w:r>
      <w:r w:rsidR="00B67E65">
        <w:rPr>
          <w:rFonts w:ascii="Arial" w:hAnsi="Arial" w:cs="Arial"/>
          <w:b/>
          <w:bCs/>
          <w:sz w:val="24"/>
          <w:szCs w:val="23"/>
        </w:rPr>
        <w:t>-3</w:t>
      </w:r>
      <w:r w:rsidR="00137CF2">
        <w:rPr>
          <w:rFonts w:ascii="Arial" w:hAnsi="Arial" w:cs="Arial"/>
          <w:b/>
          <w:bCs/>
          <w:sz w:val="24"/>
          <w:szCs w:val="23"/>
        </w:rPr>
        <w:t>1</w:t>
      </w:r>
      <w:r w:rsidR="00191694">
        <w:rPr>
          <w:rFonts w:ascii="Arial" w:hAnsi="Arial" w:cs="Arial"/>
          <w:b/>
          <w:bCs/>
          <w:sz w:val="24"/>
          <w:szCs w:val="23"/>
        </w:rPr>
        <w:t>)</w:t>
      </w:r>
      <w:r w:rsidR="00191694">
        <w:rPr>
          <w:rFonts w:ascii="Arial" w:hAnsi="Arial" w:cs="Arial"/>
          <w:b/>
          <w:bCs/>
          <w:sz w:val="24"/>
          <w:szCs w:val="23"/>
        </w:rPr>
        <w:tab/>
      </w:r>
      <w:r w:rsidR="00191694">
        <w:rPr>
          <w:rFonts w:ascii="Arial" w:hAnsi="Arial" w:cs="Arial"/>
          <w:b/>
          <w:bCs/>
          <w:sz w:val="24"/>
          <w:szCs w:val="23"/>
        </w:rPr>
        <w:tab/>
      </w:r>
      <w:r w:rsidR="00191694">
        <w:rPr>
          <w:rFonts w:ascii="Arial" w:hAnsi="Arial" w:cs="Arial"/>
          <w:b/>
          <w:bCs/>
          <w:sz w:val="24"/>
          <w:szCs w:val="23"/>
        </w:rPr>
        <w:tab/>
      </w:r>
      <w:r w:rsidR="00191694">
        <w:rPr>
          <w:rFonts w:ascii="Arial" w:hAnsi="Arial" w:cs="Arial"/>
          <w:b/>
          <w:bCs/>
          <w:sz w:val="24"/>
          <w:szCs w:val="23"/>
        </w:rPr>
        <w:tab/>
      </w:r>
      <w:r w:rsidR="00191694">
        <w:rPr>
          <w:rFonts w:ascii="Arial" w:hAnsi="Arial" w:cs="Arial"/>
          <w:b/>
          <w:bCs/>
          <w:sz w:val="24"/>
          <w:szCs w:val="23"/>
        </w:rPr>
        <w:tab/>
      </w:r>
      <w:r w:rsidR="00191694">
        <w:rPr>
          <w:rFonts w:ascii="Arial" w:hAnsi="Arial" w:cs="Arial"/>
          <w:b/>
          <w:bCs/>
          <w:sz w:val="24"/>
          <w:szCs w:val="23"/>
        </w:rPr>
        <w:tab/>
      </w:r>
      <w:r w:rsidR="0076744F">
        <w:rPr>
          <w:rFonts w:ascii="Arial" w:hAnsi="Arial" w:cs="Arial"/>
          <w:b/>
          <w:bCs/>
          <w:sz w:val="24"/>
          <w:szCs w:val="23"/>
        </w:rPr>
        <w:tab/>
      </w:r>
      <w:r w:rsidR="0076744F">
        <w:rPr>
          <w:rFonts w:ascii="Arial" w:hAnsi="Arial" w:cs="Arial"/>
          <w:b/>
          <w:bCs/>
          <w:sz w:val="24"/>
          <w:szCs w:val="23"/>
        </w:rPr>
        <w:tab/>
      </w:r>
      <w:r w:rsidR="0076744F">
        <w:rPr>
          <w:rFonts w:ascii="Arial" w:hAnsi="Arial" w:cs="Arial"/>
          <w:b/>
          <w:bCs/>
          <w:sz w:val="24"/>
          <w:szCs w:val="23"/>
        </w:rPr>
        <w:tab/>
      </w:r>
      <w:r w:rsidR="0076744F">
        <w:rPr>
          <w:rFonts w:ascii="Arial" w:hAnsi="Arial" w:cs="Arial"/>
          <w:b/>
          <w:bCs/>
          <w:sz w:val="24"/>
          <w:szCs w:val="23"/>
        </w:rPr>
        <w:tab/>
      </w:r>
      <w:r w:rsidR="0076744F">
        <w:rPr>
          <w:rFonts w:ascii="Arial" w:hAnsi="Arial" w:cs="Arial"/>
          <w:b/>
          <w:bCs/>
          <w:sz w:val="24"/>
          <w:szCs w:val="23"/>
        </w:rPr>
        <w:tab/>
      </w:r>
      <w:r w:rsidR="00191694">
        <w:rPr>
          <w:rFonts w:ascii="Arial" w:hAnsi="Arial" w:cs="Arial"/>
          <w:b/>
          <w:bCs/>
          <w:sz w:val="24"/>
          <w:szCs w:val="23"/>
        </w:rPr>
        <w:t>im L</w:t>
      </w:r>
      <w:r w:rsidR="00191694" w:rsidRPr="000B6F9A">
        <w:rPr>
          <w:rFonts w:ascii="Arial" w:hAnsi="Arial" w:cs="Arial"/>
          <w:b/>
          <w:bCs/>
          <w:sz w:val="24"/>
          <w:szCs w:val="23"/>
        </w:rPr>
        <w:t>eistun</w:t>
      </w:r>
      <w:r w:rsidR="001463C8">
        <w:rPr>
          <w:rFonts w:ascii="Arial" w:hAnsi="Arial" w:cs="Arial"/>
          <w:b/>
          <w:bCs/>
          <w:sz w:val="24"/>
          <w:szCs w:val="23"/>
        </w:rPr>
        <w:t>g</w:t>
      </w:r>
      <w:r w:rsidR="00191694" w:rsidRPr="000B6F9A">
        <w:rPr>
          <w:rFonts w:ascii="Arial" w:hAnsi="Arial" w:cs="Arial"/>
          <w:b/>
          <w:bCs/>
          <w:sz w:val="24"/>
          <w:szCs w:val="23"/>
        </w:rPr>
        <w:t>skurs</w:t>
      </w:r>
      <w:r w:rsidR="00191694">
        <w:rPr>
          <w:rFonts w:ascii="Arial" w:hAnsi="Arial" w:cs="Arial"/>
          <w:b/>
          <w:bCs/>
          <w:sz w:val="24"/>
          <w:szCs w:val="23"/>
        </w:rPr>
        <w:t xml:space="preserve"> (KLP S. </w:t>
      </w:r>
      <w:r w:rsidR="00D45995">
        <w:rPr>
          <w:rFonts w:ascii="Arial" w:hAnsi="Arial" w:cs="Arial"/>
          <w:b/>
          <w:bCs/>
          <w:sz w:val="24"/>
          <w:szCs w:val="23"/>
        </w:rPr>
        <w:t>38</w:t>
      </w:r>
      <w:r w:rsidR="004653E6">
        <w:rPr>
          <w:rFonts w:ascii="Arial" w:hAnsi="Arial" w:cs="Arial"/>
          <w:b/>
          <w:bCs/>
          <w:sz w:val="24"/>
          <w:szCs w:val="23"/>
        </w:rPr>
        <w:t>-4</w:t>
      </w:r>
      <w:r w:rsidR="00D45995">
        <w:rPr>
          <w:rFonts w:ascii="Arial" w:hAnsi="Arial" w:cs="Arial"/>
          <w:b/>
          <w:bCs/>
          <w:sz w:val="24"/>
          <w:szCs w:val="23"/>
        </w:rPr>
        <w:t>0</w:t>
      </w:r>
      <w:r w:rsidR="00191694">
        <w:rPr>
          <w:rFonts w:ascii="Arial" w:hAnsi="Arial" w:cs="Arial"/>
          <w:b/>
          <w:bCs/>
          <w:sz w:val="24"/>
          <w:szCs w:val="23"/>
        </w:rPr>
        <w:t>)</w:t>
      </w:r>
    </w:p>
    <w:p w:rsidR="004365BA" w:rsidRPr="00FF610A" w:rsidRDefault="004365BA" w:rsidP="00FF610A">
      <w:pPr>
        <w:spacing w:after="0"/>
        <w:rPr>
          <w:rFonts w:ascii="Arial" w:hAnsi="Arial" w:cs="Arial"/>
          <w:b/>
          <w:bCs/>
          <w:sz w:val="20"/>
          <w:szCs w:val="23"/>
        </w:rPr>
      </w:pPr>
    </w:p>
    <w:tbl>
      <w:tblPr>
        <w:tblStyle w:val="Tabellenraster"/>
        <w:tblW w:w="22392" w:type="dxa"/>
        <w:shd w:val="clear" w:color="auto" w:fill="FFFFFF" w:themeFill="background1"/>
        <w:tblLook w:val="04A0" w:firstRow="1" w:lastRow="0" w:firstColumn="1" w:lastColumn="0" w:noHBand="0" w:noVBand="1"/>
      </w:tblPr>
      <w:tblGrid>
        <w:gridCol w:w="11194"/>
        <w:gridCol w:w="11198"/>
      </w:tblGrid>
      <w:tr w:rsidR="004365BA" w:rsidRPr="00B67E65" w:rsidTr="00C42957">
        <w:tc>
          <w:tcPr>
            <w:tcW w:w="11194" w:type="dxa"/>
            <w:shd w:val="clear" w:color="auto" w:fill="FFF2CC" w:themeFill="accent4" w:themeFillTint="33"/>
          </w:tcPr>
          <w:p w:rsidR="004365BA" w:rsidRPr="006A0FAF" w:rsidRDefault="00F75898" w:rsidP="004F18BA">
            <w:pPr>
              <w:autoSpaceDE w:val="0"/>
              <w:autoSpaceDN w:val="0"/>
              <w:adjustRightInd w:val="0"/>
              <w:rPr>
                <w:rFonts w:ascii="Arial" w:hAnsi="Arial" w:cs="Arial"/>
                <w:color w:val="000000"/>
                <w:sz w:val="24"/>
                <w:szCs w:val="23"/>
              </w:rPr>
            </w:pPr>
            <w:r w:rsidRPr="00F75898">
              <w:rPr>
                <w:rFonts w:ascii="Symbol" w:hAnsi="Symbol" w:cs="Symbol"/>
                <w:color w:val="000000"/>
                <w:sz w:val="24"/>
                <w:szCs w:val="23"/>
              </w:rPr>
              <w:t></w:t>
            </w:r>
            <w:r w:rsidRPr="00F75898">
              <w:rPr>
                <w:rFonts w:ascii="Symbol" w:hAnsi="Symbol" w:cs="Symbol"/>
                <w:color w:val="000000"/>
                <w:sz w:val="24"/>
                <w:szCs w:val="23"/>
              </w:rPr>
              <w:t></w:t>
            </w:r>
            <w:r w:rsidRPr="00F75898">
              <w:rPr>
                <w:rFonts w:ascii="Arial" w:hAnsi="Arial" w:cs="Arial"/>
                <w:color w:val="000000"/>
                <w:sz w:val="24"/>
                <w:szCs w:val="23"/>
              </w:rPr>
              <w:t xml:space="preserve">beschreiben Aufbau und Funktion des Neurons (UF1), </w:t>
            </w:r>
          </w:p>
        </w:tc>
        <w:tc>
          <w:tcPr>
            <w:tcW w:w="11198" w:type="dxa"/>
            <w:shd w:val="clear" w:color="auto" w:fill="FFF2CC" w:themeFill="accent4" w:themeFillTint="33"/>
          </w:tcPr>
          <w:p w:rsidR="004365BA" w:rsidRPr="006A0FAF" w:rsidRDefault="00AC7DB2" w:rsidP="004F18BA">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 xml:space="preserve">beschreiben Aufbau und Funktion des Neurons (UF1), </w:t>
            </w:r>
          </w:p>
        </w:tc>
      </w:tr>
      <w:tr w:rsidR="00877FBC" w:rsidRPr="00B67E65" w:rsidTr="0040699D">
        <w:tc>
          <w:tcPr>
            <w:tcW w:w="11194" w:type="dxa"/>
            <w:shd w:val="clear" w:color="auto" w:fill="FFCCCC"/>
          </w:tcPr>
          <w:p w:rsidR="00877FBC" w:rsidRPr="006A0FAF" w:rsidRDefault="0040699D" w:rsidP="004F18BA">
            <w:pPr>
              <w:autoSpaceDE w:val="0"/>
              <w:autoSpaceDN w:val="0"/>
              <w:adjustRightInd w:val="0"/>
              <w:rPr>
                <w:rFonts w:ascii="Arial" w:hAnsi="Arial" w:cs="Arial"/>
                <w:color w:val="000000"/>
                <w:sz w:val="24"/>
                <w:szCs w:val="23"/>
              </w:rPr>
            </w:pPr>
            <w:r w:rsidRPr="0040699D">
              <w:rPr>
                <w:rFonts w:ascii="Symbol" w:hAnsi="Symbol" w:cs="Symbol"/>
                <w:color w:val="000000"/>
                <w:sz w:val="24"/>
                <w:szCs w:val="23"/>
              </w:rPr>
              <w:t></w:t>
            </w:r>
            <w:r w:rsidRPr="0040699D">
              <w:rPr>
                <w:rFonts w:ascii="Symbol" w:hAnsi="Symbol" w:cs="Symbol"/>
                <w:color w:val="000000"/>
                <w:sz w:val="24"/>
                <w:szCs w:val="23"/>
              </w:rPr>
              <w:t></w:t>
            </w:r>
            <w:r w:rsidRPr="0040699D">
              <w:rPr>
                <w:rFonts w:ascii="Arial" w:hAnsi="Arial" w:cs="Arial"/>
                <w:color w:val="000000"/>
                <w:sz w:val="24"/>
                <w:szCs w:val="23"/>
              </w:rPr>
              <w:t xml:space="preserve">erklären Ableitungen von Potentialen mittels Messelektroden an Axon und Synapse und werten Messergebnisse unter Zuordnung der molekularen Vorgänge an Biomembranen aus (E5, E2, UF1, UF2), </w:t>
            </w:r>
          </w:p>
        </w:tc>
        <w:tc>
          <w:tcPr>
            <w:tcW w:w="11198" w:type="dxa"/>
            <w:shd w:val="clear" w:color="auto" w:fill="FFCCCC"/>
          </w:tcPr>
          <w:p w:rsidR="00877FBC" w:rsidRPr="006A0FAF" w:rsidRDefault="00877FBC" w:rsidP="004F18BA">
            <w:pPr>
              <w:autoSpaceDE w:val="0"/>
              <w:autoSpaceDN w:val="0"/>
              <w:adjustRightInd w:val="0"/>
              <w:rPr>
                <w:rFonts w:ascii="Symbol" w:hAnsi="Symbol" w:cs="Symbol"/>
                <w:color w:val="000000"/>
                <w:sz w:val="24"/>
                <w:szCs w:val="23"/>
              </w:rPr>
            </w:pPr>
            <w:r w:rsidRPr="0015658A">
              <w:rPr>
                <w:rFonts w:ascii="Symbol" w:hAnsi="Symbol" w:cs="Symbol"/>
                <w:color w:val="000000"/>
                <w:sz w:val="24"/>
                <w:szCs w:val="23"/>
              </w:rPr>
              <w:t></w:t>
            </w:r>
            <w:r w:rsidRPr="0015658A">
              <w:rPr>
                <w:rFonts w:ascii="Symbol" w:hAnsi="Symbol" w:cs="Symbol"/>
                <w:color w:val="000000"/>
                <w:sz w:val="24"/>
                <w:szCs w:val="23"/>
              </w:rPr>
              <w:t></w:t>
            </w:r>
            <w:r w:rsidRPr="0015658A">
              <w:rPr>
                <w:rFonts w:ascii="Arial" w:hAnsi="Arial" w:cs="Arial"/>
                <w:color w:val="000000"/>
                <w:sz w:val="24"/>
                <w:szCs w:val="23"/>
              </w:rPr>
              <w:t>erklären Ableitungen von Potentialen mittels Messelektroden an Axon und Synapse und werten Messergebnisse unter Zuordnung der molekularen Vorgänge an Biomembranen aus (E5, E2, UF1, UF2),</w:t>
            </w:r>
          </w:p>
        </w:tc>
      </w:tr>
      <w:tr w:rsidR="00877FBC" w:rsidRPr="00B67E65" w:rsidTr="00877FBC">
        <w:tc>
          <w:tcPr>
            <w:tcW w:w="11194" w:type="dxa"/>
            <w:shd w:val="clear" w:color="auto" w:fill="FFFFFF" w:themeFill="background1"/>
          </w:tcPr>
          <w:p w:rsidR="00877FBC" w:rsidRPr="006A0FAF" w:rsidRDefault="00877FBC" w:rsidP="004F18BA">
            <w:pPr>
              <w:autoSpaceDE w:val="0"/>
              <w:autoSpaceDN w:val="0"/>
              <w:adjustRightInd w:val="0"/>
              <w:rPr>
                <w:rFonts w:ascii="Symbol" w:hAnsi="Symbol" w:cs="Symbol"/>
                <w:color w:val="000000"/>
                <w:sz w:val="24"/>
                <w:szCs w:val="23"/>
              </w:rPr>
            </w:pPr>
          </w:p>
        </w:tc>
        <w:tc>
          <w:tcPr>
            <w:tcW w:w="11198" w:type="dxa"/>
            <w:shd w:val="clear" w:color="auto" w:fill="FFCCCC"/>
          </w:tcPr>
          <w:p w:rsidR="00877FBC" w:rsidRPr="006A0FAF" w:rsidRDefault="00877FBC" w:rsidP="004F18BA">
            <w:pPr>
              <w:autoSpaceDE w:val="0"/>
              <w:autoSpaceDN w:val="0"/>
              <w:adjustRightInd w:val="0"/>
              <w:rPr>
                <w:rFonts w:ascii="Symbol" w:hAnsi="Symbol" w:cs="Symbol"/>
                <w:color w:val="000000"/>
                <w:sz w:val="24"/>
                <w:szCs w:val="23"/>
              </w:rPr>
            </w:pPr>
            <w:r w:rsidRPr="00877FBC">
              <w:rPr>
                <w:rFonts w:ascii="Symbol" w:hAnsi="Symbol" w:cs="Symbol"/>
                <w:color w:val="000000"/>
                <w:sz w:val="24"/>
                <w:szCs w:val="23"/>
              </w:rPr>
              <w:t></w:t>
            </w:r>
            <w:r w:rsidRPr="00877FBC">
              <w:rPr>
                <w:rFonts w:ascii="Symbol" w:hAnsi="Symbol" w:cs="Symbol"/>
                <w:color w:val="000000"/>
                <w:sz w:val="24"/>
                <w:szCs w:val="23"/>
              </w:rPr>
              <w:t></w:t>
            </w:r>
            <w:r w:rsidRPr="00877FBC">
              <w:rPr>
                <w:rFonts w:ascii="Arial" w:hAnsi="Arial" w:cs="Arial"/>
                <w:color w:val="000000"/>
                <w:sz w:val="24"/>
                <w:szCs w:val="23"/>
              </w:rPr>
              <w:t>leiten aus Messdaten der Patch-</w:t>
            </w:r>
            <w:proofErr w:type="spellStart"/>
            <w:r w:rsidRPr="00877FBC">
              <w:rPr>
                <w:rFonts w:ascii="Arial" w:hAnsi="Arial" w:cs="Arial"/>
                <w:color w:val="000000"/>
                <w:sz w:val="24"/>
                <w:szCs w:val="23"/>
              </w:rPr>
              <w:t>Clamp</w:t>
            </w:r>
            <w:proofErr w:type="spellEnd"/>
            <w:r w:rsidRPr="00877FBC">
              <w:rPr>
                <w:rFonts w:ascii="Arial" w:hAnsi="Arial" w:cs="Arial"/>
                <w:color w:val="000000"/>
                <w:sz w:val="24"/>
                <w:szCs w:val="23"/>
              </w:rPr>
              <w:t>-Technik Veränderungen von Ionenströmen durch Ionenkanäle ab und e</w:t>
            </w:r>
            <w:r w:rsidRPr="006A0FAF">
              <w:rPr>
                <w:rFonts w:ascii="Arial" w:hAnsi="Arial" w:cs="Arial"/>
                <w:color w:val="000000"/>
                <w:sz w:val="24"/>
                <w:szCs w:val="23"/>
              </w:rPr>
              <w:t>ntwickeln dazu Modellvorstellun</w:t>
            </w:r>
            <w:r w:rsidRPr="00877FBC">
              <w:rPr>
                <w:rFonts w:ascii="Arial" w:hAnsi="Arial" w:cs="Arial"/>
                <w:color w:val="000000"/>
                <w:sz w:val="24"/>
                <w:szCs w:val="23"/>
              </w:rPr>
              <w:t>gen (E5, E6, K4),</w:t>
            </w:r>
          </w:p>
        </w:tc>
      </w:tr>
      <w:tr w:rsidR="00F75898" w:rsidRPr="00B67E65" w:rsidTr="00C42957">
        <w:tc>
          <w:tcPr>
            <w:tcW w:w="11194" w:type="dxa"/>
            <w:shd w:val="clear" w:color="auto" w:fill="FFF2CC" w:themeFill="accent4" w:themeFillTint="33"/>
          </w:tcPr>
          <w:p w:rsidR="00F75898" w:rsidRPr="006A0FAF" w:rsidRDefault="00F75898" w:rsidP="004F18BA">
            <w:pPr>
              <w:autoSpaceDE w:val="0"/>
              <w:autoSpaceDN w:val="0"/>
              <w:adjustRightInd w:val="0"/>
              <w:rPr>
                <w:rFonts w:ascii="Arial" w:hAnsi="Arial" w:cs="Arial"/>
                <w:color w:val="000000"/>
                <w:sz w:val="24"/>
                <w:szCs w:val="23"/>
              </w:rPr>
            </w:pPr>
            <w:r w:rsidRPr="00F75898">
              <w:rPr>
                <w:rFonts w:ascii="Symbol" w:hAnsi="Symbol" w:cs="Symbol"/>
                <w:color w:val="000000"/>
                <w:sz w:val="24"/>
                <w:szCs w:val="23"/>
              </w:rPr>
              <w:t></w:t>
            </w:r>
            <w:r w:rsidRPr="00F75898">
              <w:rPr>
                <w:rFonts w:ascii="Symbol" w:hAnsi="Symbol" w:cs="Symbol"/>
                <w:color w:val="000000"/>
                <w:sz w:val="24"/>
                <w:szCs w:val="23"/>
              </w:rPr>
              <w:t></w:t>
            </w:r>
            <w:r w:rsidRPr="00F75898">
              <w:rPr>
                <w:rFonts w:ascii="Arial" w:hAnsi="Arial" w:cs="Arial"/>
                <w:color w:val="000000"/>
                <w:sz w:val="24"/>
                <w:szCs w:val="23"/>
              </w:rPr>
              <w:t xml:space="preserve">erklären die Weiterleitung des Aktionspotentials an </w:t>
            </w:r>
            <w:proofErr w:type="spellStart"/>
            <w:r w:rsidRPr="00F75898">
              <w:rPr>
                <w:rFonts w:ascii="Arial" w:hAnsi="Arial" w:cs="Arial"/>
                <w:color w:val="000000"/>
                <w:sz w:val="24"/>
                <w:szCs w:val="23"/>
              </w:rPr>
              <w:t>myelinisierten</w:t>
            </w:r>
            <w:proofErr w:type="spellEnd"/>
            <w:r w:rsidRPr="00F75898">
              <w:rPr>
                <w:rFonts w:ascii="Arial" w:hAnsi="Arial" w:cs="Arial"/>
                <w:color w:val="000000"/>
                <w:sz w:val="24"/>
                <w:szCs w:val="23"/>
              </w:rPr>
              <w:t xml:space="preserve"> Axonen (UF1), </w:t>
            </w:r>
          </w:p>
        </w:tc>
        <w:tc>
          <w:tcPr>
            <w:tcW w:w="11198" w:type="dxa"/>
            <w:shd w:val="clear" w:color="auto" w:fill="FFF2CC" w:themeFill="accent4" w:themeFillTint="33"/>
          </w:tcPr>
          <w:p w:rsidR="00F75898" w:rsidRPr="006A0FAF" w:rsidRDefault="00AC7DB2" w:rsidP="004F18BA">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 xml:space="preserve">vergleichen die Weiterleitung des Aktionspotentials an </w:t>
            </w:r>
            <w:proofErr w:type="spellStart"/>
            <w:r w:rsidRPr="00AC7DB2">
              <w:rPr>
                <w:rFonts w:ascii="Arial" w:hAnsi="Arial" w:cs="Arial"/>
                <w:color w:val="000000"/>
                <w:sz w:val="24"/>
                <w:szCs w:val="23"/>
              </w:rPr>
              <w:t>myelinisierten</w:t>
            </w:r>
            <w:proofErr w:type="spellEnd"/>
            <w:r w:rsidRPr="00AC7DB2">
              <w:rPr>
                <w:rFonts w:ascii="Arial" w:hAnsi="Arial" w:cs="Arial"/>
                <w:color w:val="000000"/>
                <w:sz w:val="24"/>
                <w:szCs w:val="23"/>
              </w:rPr>
              <w:t xml:space="preserve"> und nicht </w:t>
            </w:r>
            <w:proofErr w:type="spellStart"/>
            <w:r w:rsidRPr="00AC7DB2">
              <w:rPr>
                <w:rFonts w:ascii="Arial" w:hAnsi="Arial" w:cs="Arial"/>
                <w:color w:val="000000"/>
                <w:sz w:val="24"/>
                <w:szCs w:val="23"/>
              </w:rPr>
              <w:t>myelinisierten</w:t>
            </w:r>
            <w:proofErr w:type="spellEnd"/>
            <w:r w:rsidRPr="00AC7DB2">
              <w:rPr>
                <w:rFonts w:ascii="Arial" w:hAnsi="Arial" w:cs="Arial"/>
                <w:color w:val="000000"/>
                <w:sz w:val="24"/>
                <w:szCs w:val="23"/>
              </w:rPr>
              <w:t xml:space="preserve"> Axonen miteinander</w:t>
            </w:r>
            <w:r w:rsidRPr="006A0FAF">
              <w:rPr>
                <w:rFonts w:ascii="Arial" w:hAnsi="Arial" w:cs="Arial"/>
                <w:color w:val="000000"/>
                <w:sz w:val="24"/>
                <w:szCs w:val="23"/>
              </w:rPr>
              <w:t xml:space="preserve"> und stellen diese unter dem As</w:t>
            </w:r>
            <w:r w:rsidRPr="00AC7DB2">
              <w:rPr>
                <w:rFonts w:ascii="Arial" w:hAnsi="Arial" w:cs="Arial"/>
                <w:color w:val="000000"/>
                <w:sz w:val="24"/>
                <w:szCs w:val="23"/>
              </w:rPr>
              <w:t xml:space="preserve">pekt der Leitungsgeschwindigkeit in einen funktionellen Zusammenhang (UF2, UF3, UF4), </w:t>
            </w:r>
          </w:p>
        </w:tc>
      </w:tr>
      <w:tr w:rsidR="00F75898" w:rsidRPr="00B67E65" w:rsidTr="00C42957">
        <w:tc>
          <w:tcPr>
            <w:tcW w:w="11194" w:type="dxa"/>
            <w:shd w:val="clear" w:color="auto" w:fill="FFF2CC" w:themeFill="accent4" w:themeFillTint="33"/>
          </w:tcPr>
          <w:p w:rsidR="00F75898" w:rsidRPr="006A0FAF" w:rsidRDefault="00F75898" w:rsidP="004F18BA">
            <w:pPr>
              <w:autoSpaceDE w:val="0"/>
              <w:autoSpaceDN w:val="0"/>
              <w:adjustRightInd w:val="0"/>
              <w:rPr>
                <w:rFonts w:ascii="Arial" w:hAnsi="Arial" w:cs="Arial"/>
                <w:color w:val="000000"/>
                <w:sz w:val="24"/>
                <w:szCs w:val="23"/>
              </w:rPr>
            </w:pPr>
            <w:r w:rsidRPr="00F75898">
              <w:rPr>
                <w:rFonts w:ascii="Symbol" w:hAnsi="Symbol" w:cs="Symbol"/>
                <w:color w:val="000000"/>
                <w:sz w:val="24"/>
                <w:szCs w:val="23"/>
              </w:rPr>
              <w:t></w:t>
            </w:r>
            <w:r w:rsidRPr="00F75898">
              <w:rPr>
                <w:rFonts w:ascii="Symbol" w:hAnsi="Symbol" w:cs="Symbol"/>
                <w:color w:val="000000"/>
                <w:sz w:val="24"/>
                <w:szCs w:val="23"/>
              </w:rPr>
              <w:t></w:t>
            </w:r>
            <w:r w:rsidRPr="00F75898">
              <w:rPr>
                <w:rFonts w:ascii="Arial" w:hAnsi="Arial" w:cs="Arial"/>
                <w:color w:val="000000"/>
                <w:sz w:val="24"/>
                <w:szCs w:val="23"/>
              </w:rPr>
              <w:t xml:space="preserve">erläutern die Verschaltung von Neuronen bei der Erregungsweiterleitung und der Verrechnung von Potentialen mit der Funktion der Synapsen auf molekularer Ebene (UF1, UF3), </w:t>
            </w:r>
          </w:p>
        </w:tc>
        <w:tc>
          <w:tcPr>
            <w:tcW w:w="11198" w:type="dxa"/>
            <w:shd w:val="clear" w:color="auto" w:fill="FFF2CC" w:themeFill="accent4" w:themeFillTint="33"/>
          </w:tcPr>
          <w:p w:rsidR="00F75898" w:rsidRPr="006A0FAF" w:rsidRDefault="00AC7DB2" w:rsidP="004F18BA">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 xml:space="preserve">erläutern die Verschaltung von Neuronen bei der Erregungsweiterleitung und der Verrechnung von Potentialen mit der Funktion der Synapsen auf molekularer Ebene (UF1, UF3), </w:t>
            </w:r>
          </w:p>
        </w:tc>
      </w:tr>
      <w:tr w:rsidR="00F75898" w:rsidRPr="00B67E65" w:rsidTr="00C42957">
        <w:tc>
          <w:tcPr>
            <w:tcW w:w="11194" w:type="dxa"/>
            <w:shd w:val="clear" w:color="auto" w:fill="FFF2CC" w:themeFill="accent4" w:themeFillTint="33"/>
          </w:tcPr>
          <w:p w:rsidR="00F75898" w:rsidRPr="006A0FAF" w:rsidRDefault="00F75898" w:rsidP="004F18BA">
            <w:pPr>
              <w:autoSpaceDE w:val="0"/>
              <w:autoSpaceDN w:val="0"/>
              <w:adjustRightInd w:val="0"/>
              <w:rPr>
                <w:rFonts w:ascii="Arial" w:hAnsi="Arial" w:cs="Arial"/>
                <w:color w:val="000000"/>
                <w:sz w:val="24"/>
                <w:szCs w:val="23"/>
              </w:rPr>
            </w:pPr>
            <w:r w:rsidRPr="00F75898">
              <w:rPr>
                <w:rFonts w:ascii="Symbol" w:hAnsi="Symbol" w:cs="Symbol"/>
                <w:color w:val="000000"/>
                <w:sz w:val="24"/>
                <w:szCs w:val="23"/>
              </w:rPr>
              <w:t></w:t>
            </w:r>
            <w:r w:rsidRPr="00F75898">
              <w:rPr>
                <w:rFonts w:ascii="Symbol" w:hAnsi="Symbol" w:cs="Symbol"/>
                <w:color w:val="000000"/>
                <w:sz w:val="24"/>
                <w:szCs w:val="23"/>
              </w:rPr>
              <w:t></w:t>
            </w:r>
            <w:r w:rsidRPr="00F75898">
              <w:rPr>
                <w:rFonts w:ascii="Arial" w:hAnsi="Arial" w:cs="Arial"/>
                <w:color w:val="000000"/>
                <w:sz w:val="24"/>
                <w:szCs w:val="23"/>
              </w:rPr>
              <w:t>erklären die Rolle von Sympathikus und Parasy</w:t>
            </w:r>
            <w:r w:rsidRPr="006A0FAF">
              <w:rPr>
                <w:rFonts w:ascii="Arial" w:hAnsi="Arial" w:cs="Arial"/>
                <w:color w:val="000000"/>
                <w:sz w:val="24"/>
                <w:szCs w:val="23"/>
              </w:rPr>
              <w:t>mpathikus bei der neuro</w:t>
            </w:r>
            <w:r w:rsidRPr="00F75898">
              <w:rPr>
                <w:rFonts w:ascii="Arial" w:hAnsi="Arial" w:cs="Arial"/>
                <w:color w:val="000000"/>
                <w:sz w:val="24"/>
                <w:szCs w:val="23"/>
              </w:rPr>
              <w:t>nalen und hormonellen Regelung von p</w:t>
            </w:r>
            <w:r w:rsidRPr="006A0FAF">
              <w:rPr>
                <w:rFonts w:ascii="Arial" w:hAnsi="Arial" w:cs="Arial"/>
                <w:color w:val="000000"/>
                <w:sz w:val="24"/>
                <w:szCs w:val="23"/>
              </w:rPr>
              <w:t>hysiologischen Funktionen an ei</w:t>
            </w:r>
            <w:r w:rsidRPr="00F75898">
              <w:rPr>
                <w:rFonts w:ascii="Arial" w:hAnsi="Arial" w:cs="Arial"/>
                <w:color w:val="000000"/>
                <w:sz w:val="24"/>
                <w:szCs w:val="23"/>
              </w:rPr>
              <w:t xml:space="preserve">nem Beispiel (UF4, E6, UF2, UF1), </w:t>
            </w:r>
          </w:p>
        </w:tc>
        <w:tc>
          <w:tcPr>
            <w:tcW w:w="11198" w:type="dxa"/>
            <w:shd w:val="clear" w:color="auto" w:fill="FFF2CC" w:themeFill="accent4" w:themeFillTint="33"/>
          </w:tcPr>
          <w:p w:rsidR="00F75898" w:rsidRPr="006A0FAF" w:rsidRDefault="00AC7DB2" w:rsidP="004F18BA">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erklären die Rolle von Sympathikus und Parasympathikus bei der neuronalen und hormonellen Regelung von ph</w:t>
            </w:r>
            <w:r w:rsidRPr="006A0FAF">
              <w:rPr>
                <w:rFonts w:ascii="Arial" w:hAnsi="Arial" w:cs="Arial"/>
                <w:color w:val="000000"/>
                <w:sz w:val="24"/>
                <w:szCs w:val="23"/>
              </w:rPr>
              <w:t>ysiologischen Funktionen an Bei</w:t>
            </w:r>
            <w:r w:rsidRPr="00AC7DB2">
              <w:rPr>
                <w:rFonts w:ascii="Arial" w:hAnsi="Arial" w:cs="Arial"/>
                <w:color w:val="000000"/>
                <w:sz w:val="24"/>
                <w:szCs w:val="23"/>
              </w:rPr>
              <w:t>spielen (UF4, E6, UF2, UF1),</w:t>
            </w:r>
          </w:p>
        </w:tc>
      </w:tr>
      <w:tr w:rsidR="00AC7DB2" w:rsidRPr="00B67E65" w:rsidTr="0015658A">
        <w:tc>
          <w:tcPr>
            <w:tcW w:w="11194" w:type="dxa"/>
            <w:shd w:val="clear" w:color="auto" w:fill="FFFFFF" w:themeFill="background1"/>
          </w:tcPr>
          <w:p w:rsidR="00AC7DB2" w:rsidRPr="006A0FAF" w:rsidRDefault="00AC7DB2" w:rsidP="004F18BA">
            <w:pPr>
              <w:autoSpaceDE w:val="0"/>
              <w:autoSpaceDN w:val="0"/>
              <w:adjustRightInd w:val="0"/>
              <w:rPr>
                <w:rFonts w:ascii="Symbol" w:hAnsi="Symbol" w:cs="Symbol"/>
                <w:color w:val="000000"/>
                <w:sz w:val="24"/>
                <w:szCs w:val="23"/>
              </w:rPr>
            </w:pPr>
          </w:p>
        </w:tc>
        <w:tc>
          <w:tcPr>
            <w:tcW w:w="11198" w:type="dxa"/>
            <w:shd w:val="clear" w:color="auto" w:fill="FFF2CC" w:themeFill="accent4" w:themeFillTint="33"/>
          </w:tcPr>
          <w:p w:rsidR="00AC7DB2" w:rsidRPr="006A0FAF" w:rsidRDefault="00AC7DB2" w:rsidP="004F18BA">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 xml:space="preserve">erläutern den Aufbau und die Funktion der Netzhaut unter den Aspekten der Farb- und Kontrastwahrnehmung (UF3, UF4), </w:t>
            </w:r>
          </w:p>
        </w:tc>
      </w:tr>
      <w:tr w:rsidR="0040699D" w:rsidRPr="00B67E65" w:rsidTr="0040699D">
        <w:tc>
          <w:tcPr>
            <w:tcW w:w="11194" w:type="dxa"/>
            <w:shd w:val="clear" w:color="auto" w:fill="FFCCCC"/>
          </w:tcPr>
          <w:p w:rsidR="0040699D" w:rsidRPr="006A0FAF" w:rsidRDefault="0040699D" w:rsidP="004F18BA">
            <w:pPr>
              <w:autoSpaceDE w:val="0"/>
              <w:autoSpaceDN w:val="0"/>
              <w:adjustRightInd w:val="0"/>
              <w:rPr>
                <w:rFonts w:ascii="Arial" w:hAnsi="Arial" w:cs="Arial"/>
                <w:color w:val="000000"/>
                <w:sz w:val="24"/>
                <w:szCs w:val="23"/>
              </w:rPr>
            </w:pPr>
            <w:r w:rsidRPr="0040699D">
              <w:rPr>
                <w:rFonts w:ascii="Symbol" w:hAnsi="Symbol" w:cs="Symbol"/>
                <w:color w:val="000000"/>
                <w:sz w:val="24"/>
                <w:szCs w:val="23"/>
              </w:rPr>
              <w:t></w:t>
            </w:r>
            <w:r w:rsidRPr="0040699D">
              <w:rPr>
                <w:rFonts w:ascii="Symbol" w:hAnsi="Symbol" w:cs="Symbol"/>
                <w:color w:val="000000"/>
                <w:sz w:val="24"/>
                <w:szCs w:val="23"/>
              </w:rPr>
              <w:t></w:t>
            </w:r>
            <w:r w:rsidRPr="0040699D">
              <w:rPr>
                <w:rFonts w:ascii="Arial" w:hAnsi="Arial" w:cs="Arial"/>
                <w:color w:val="000000"/>
                <w:sz w:val="24"/>
                <w:szCs w:val="23"/>
              </w:rPr>
              <w:t xml:space="preserve">stellen das Prinzip der </w:t>
            </w:r>
            <w:proofErr w:type="spellStart"/>
            <w:r w:rsidRPr="0040699D">
              <w:rPr>
                <w:rFonts w:ascii="Arial" w:hAnsi="Arial" w:cs="Arial"/>
                <w:color w:val="000000"/>
                <w:sz w:val="24"/>
                <w:szCs w:val="23"/>
              </w:rPr>
              <w:t>Signaltransduktion</w:t>
            </w:r>
            <w:proofErr w:type="spellEnd"/>
            <w:r w:rsidRPr="0040699D">
              <w:rPr>
                <w:rFonts w:ascii="Arial" w:hAnsi="Arial" w:cs="Arial"/>
                <w:color w:val="000000"/>
                <w:sz w:val="24"/>
                <w:szCs w:val="23"/>
              </w:rPr>
              <w:t xml:space="preserve"> an einem Rezeptor anhand von Modellen dar (E6, UF1, UF2, UF4), </w:t>
            </w:r>
          </w:p>
        </w:tc>
        <w:tc>
          <w:tcPr>
            <w:tcW w:w="11198" w:type="dxa"/>
            <w:shd w:val="clear" w:color="auto" w:fill="FFFFFF" w:themeFill="background1"/>
          </w:tcPr>
          <w:p w:rsidR="0040699D" w:rsidRPr="006A0FAF" w:rsidRDefault="0040699D" w:rsidP="004F18BA">
            <w:pPr>
              <w:autoSpaceDE w:val="0"/>
              <w:autoSpaceDN w:val="0"/>
              <w:adjustRightInd w:val="0"/>
              <w:rPr>
                <w:rFonts w:ascii="Symbol" w:hAnsi="Symbol" w:cs="Symbol"/>
                <w:color w:val="000000"/>
                <w:sz w:val="24"/>
                <w:szCs w:val="23"/>
              </w:rPr>
            </w:pPr>
          </w:p>
        </w:tc>
      </w:tr>
      <w:tr w:rsidR="00877FBC" w:rsidRPr="00B67E65" w:rsidTr="00877FBC">
        <w:tc>
          <w:tcPr>
            <w:tcW w:w="11194" w:type="dxa"/>
            <w:shd w:val="clear" w:color="auto" w:fill="FFFFFF" w:themeFill="background1"/>
          </w:tcPr>
          <w:p w:rsidR="00877FBC" w:rsidRPr="006A0FAF" w:rsidRDefault="00877FBC" w:rsidP="004F18BA">
            <w:pPr>
              <w:autoSpaceDE w:val="0"/>
              <w:autoSpaceDN w:val="0"/>
              <w:adjustRightInd w:val="0"/>
              <w:rPr>
                <w:rFonts w:ascii="Symbol" w:hAnsi="Symbol" w:cs="Symbol"/>
                <w:color w:val="000000"/>
                <w:sz w:val="24"/>
                <w:szCs w:val="23"/>
              </w:rPr>
            </w:pPr>
          </w:p>
        </w:tc>
        <w:tc>
          <w:tcPr>
            <w:tcW w:w="11198" w:type="dxa"/>
            <w:shd w:val="clear" w:color="auto" w:fill="FFCCCC"/>
          </w:tcPr>
          <w:p w:rsidR="00877FBC" w:rsidRPr="006A0FAF" w:rsidRDefault="00877FBC" w:rsidP="00116625">
            <w:pPr>
              <w:autoSpaceDE w:val="0"/>
              <w:autoSpaceDN w:val="0"/>
              <w:adjustRightInd w:val="0"/>
              <w:rPr>
                <w:rFonts w:ascii="Arial" w:hAnsi="Arial" w:cs="Arial"/>
                <w:color w:val="000000"/>
                <w:sz w:val="24"/>
                <w:szCs w:val="23"/>
              </w:rPr>
            </w:pPr>
            <w:r w:rsidRPr="00877FBC">
              <w:rPr>
                <w:rFonts w:ascii="Symbol" w:hAnsi="Symbol" w:cs="Symbol"/>
                <w:color w:val="000000"/>
                <w:sz w:val="24"/>
                <w:szCs w:val="23"/>
              </w:rPr>
              <w:t></w:t>
            </w:r>
            <w:r w:rsidRPr="00877FBC">
              <w:rPr>
                <w:rFonts w:ascii="Symbol" w:hAnsi="Symbol" w:cs="Symbol"/>
                <w:color w:val="000000"/>
                <w:sz w:val="24"/>
                <w:szCs w:val="23"/>
              </w:rPr>
              <w:t></w:t>
            </w:r>
            <w:r w:rsidRPr="00877FBC">
              <w:rPr>
                <w:rFonts w:ascii="Arial" w:hAnsi="Arial" w:cs="Arial"/>
                <w:color w:val="000000"/>
                <w:sz w:val="24"/>
                <w:szCs w:val="23"/>
              </w:rPr>
              <w:t xml:space="preserve">stellen die Veränderung der Membranspannung an Lichtsinneszellen anhand von Modellen dar und beschreiben die Bedeutung des </w:t>
            </w:r>
            <w:proofErr w:type="spellStart"/>
            <w:r w:rsidRPr="00877FBC">
              <w:rPr>
                <w:rFonts w:ascii="Arial" w:hAnsi="Arial" w:cs="Arial"/>
                <w:i/>
                <w:iCs/>
                <w:color w:val="000000"/>
                <w:sz w:val="24"/>
                <w:szCs w:val="23"/>
              </w:rPr>
              <w:t>second</w:t>
            </w:r>
            <w:proofErr w:type="spellEnd"/>
            <w:r w:rsidRPr="00877FBC">
              <w:rPr>
                <w:rFonts w:ascii="Arial" w:hAnsi="Arial" w:cs="Arial"/>
                <w:i/>
                <w:iCs/>
                <w:color w:val="000000"/>
                <w:sz w:val="24"/>
                <w:szCs w:val="23"/>
              </w:rPr>
              <w:t xml:space="preserve"> </w:t>
            </w:r>
            <w:proofErr w:type="spellStart"/>
            <w:r w:rsidRPr="00877FBC">
              <w:rPr>
                <w:rFonts w:ascii="Arial" w:hAnsi="Arial" w:cs="Arial"/>
                <w:i/>
                <w:iCs/>
                <w:color w:val="000000"/>
                <w:sz w:val="24"/>
                <w:szCs w:val="23"/>
              </w:rPr>
              <w:t>messengers</w:t>
            </w:r>
            <w:proofErr w:type="spellEnd"/>
            <w:r w:rsidRPr="00877FBC">
              <w:rPr>
                <w:rFonts w:ascii="Arial" w:hAnsi="Arial" w:cs="Arial"/>
                <w:i/>
                <w:iCs/>
                <w:color w:val="000000"/>
                <w:sz w:val="24"/>
                <w:szCs w:val="23"/>
              </w:rPr>
              <w:t xml:space="preserve"> </w:t>
            </w:r>
            <w:r w:rsidRPr="00877FBC">
              <w:rPr>
                <w:rFonts w:ascii="Arial" w:hAnsi="Arial" w:cs="Arial"/>
                <w:color w:val="000000"/>
                <w:sz w:val="24"/>
                <w:szCs w:val="23"/>
              </w:rPr>
              <w:t>und der Reaktionskaskade be</w:t>
            </w:r>
            <w:r w:rsidR="006A5003" w:rsidRPr="006A0FAF">
              <w:rPr>
                <w:rFonts w:ascii="Arial" w:hAnsi="Arial" w:cs="Arial"/>
                <w:color w:val="000000"/>
                <w:sz w:val="24"/>
                <w:szCs w:val="23"/>
              </w:rPr>
              <w:t xml:space="preserve">i der </w:t>
            </w:r>
            <w:proofErr w:type="spellStart"/>
            <w:r w:rsidR="006A5003" w:rsidRPr="006A0FAF">
              <w:rPr>
                <w:rFonts w:ascii="Arial" w:hAnsi="Arial" w:cs="Arial"/>
                <w:color w:val="000000"/>
                <w:sz w:val="24"/>
                <w:szCs w:val="23"/>
              </w:rPr>
              <w:t>Fototransduktion</w:t>
            </w:r>
            <w:proofErr w:type="spellEnd"/>
            <w:r w:rsidR="006A5003" w:rsidRPr="006A0FAF">
              <w:rPr>
                <w:rFonts w:ascii="Arial" w:hAnsi="Arial" w:cs="Arial"/>
                <w:color w:val="000000"/>
                <w:sz w:val="24"/>
                <w:szCs w:val="23"/>
              </w:rPr>
              <w:t xml:space="preserve"> (E6, E1),</w:t>
            </w:r>
            <w:r w:rsidRPr="00877FBC">
              <w:rPr>
                <w:rFonts w:ascii="Arial" w:hAnsi="Arial" w:cs="Arial"/>
                <w:color w:val="000000"/>
                <w:sz w:val="24"/>
                <w:szCs w:val="23"/>
              </w:rPr>
              <w:t xml:space="preserve"> </w:t>
            </w:r>
          </w:p>
        </w:tc>
      </w:tr>
      <w:tr w:rsidR="00BA09BD" w:rsidRPr="00B67E65" w:rsidTr="00116625">
        <w:tc>
          <w:tcPr>
            <w:tcW w:w="11194" w:type="dxa"/>
            <w:shd w:val="clear" w:color="auto" w:fill="E2EFD9" w:themeFill="accent6" w:themeFillTint="33"/>
          </w:tcPr>
          <w:p w:rsidR="00BA09BD" w:rsidRPr="006A0FAF" w:rsidRDefault="00116625" w:rsidP="00116625">
            <w:pPr>
              <w:autoSpaceDE w:val="0"/>
              <w:autoSpaceDN w:val="0"/>
              <w:adjustRightInd w:val="0"/>
              <w:rPr>
                <w:rFonts w:ascii="Arial" w:hAnsi="Arial" w:cs="Arial"/>
                <w:color w:val="000000"/>
                <w:sz w:val="24"/>
                <w:szCs w:val="23"/>
              </w:rPr>
            </w:pPr>
            <w:r w:rsidRPr="00116625">
              <w:rPr>
                <w:rFonts w:ascii="Symbol" w:hAnsi="Symbol" w:cs="Symbol"/>
                <w:color w:val="000000"/>
                <w:sz w:val="24"/>
                <w:szCs w:val="23"/>
              </w:rPr>
              <w:t></w:t>
            </w:r>
            <w:r w:rsidRPr="00116625">
              <w:rPr>
                <w:rFonts w:ascii="Symbol" w:hAnsi="Symbol" w:cs="Symbol"/>
                <w:color w:val="000000"/>
                <w:sz w:val="24"/>
                <w:szCs w:val="23"/>
              </w:rPr>
              <w:t></w:t>
            </w:r>
            <w:r w:rsidRPr="00116625">
              <w:rPr>
                <w:rFonts w:ascii="Arial" w:hAnsi="Arial" w:cs="Arial"/>
                <w:color w:val="000000"/>
                <w:sz w:val="24"/>
                <w:szCs w:val="23"/>
              </w:rPr>
              <w:t>stellen den Vorgang von der durch einen Reiz ausgelösten Erregung von Sinneszellen bis zur Konstruktion des Sinneseindrucks bzw. der Wahrnehmung im Gehirn unter Verwendung f</w:t>
            </w:r>
            <w:r w:rsidRPr="006A0FAF">
              <w:rPr>
                <w:rFonts w:ascii="Arial" w:hAnsi="Arial" w:cs="Arial"/>
                <w:color w:val="000000"/>
                <w:sz w:val="24"/>
                <w:szCs w:val="23"/>
              </w:rPr>
              <w:t>achspezifischer Darstellungsfor</w:t>
            </w:r>
            <w:r w:rsidRPr="00116625">
              <w:rPr>
                <w:rFonts w:ascii="Arial" w:hAnsi="Arial" w:cs="Arial"/>
                <w:color w:val="000000"/>
                <w:sz w:val="24"/>
                <w:szCs w:val="23"/>
              </w:rPr>
              <w:t xml:space="preserve">men in Grundzügen dar (K1, K3), </w:t>
            </w:r>
          </w:p>
        </w:tc>
        <w:tc>
          <w:tcPr>
            <w:tcW w:w="11198" w:type="dxa"/>
            <w:shd w:val="clear" w:color="auto" w:fill="E2EFD9" w:themeFill="accent6" w:themeFillTint="33"/>
          </w:tcPr>
          <w:p w:rsidR="00BA09BD" w:rsidRPr="006A0FAF" w:rsidRDefault="00BA09BD" w:rsidP="00BA09BD">
            <w:pPr>
              <w:autoSpaceDE w:val="0"/>
              <w:autoSpaceDN w:val="0"/>
              <w:adjustRightInd w:val="0"/>
              <w:rPr>
                <w:rFonts w:ascii="Arial" w:hAnsi="Arial" w:cs="Arial"/>
                <w:color w:val="000000"/>
                <w:sz w:val="24"/>
                <w:szCs w:val="23"/>
              </w:rPr>
            </w:pPr>
            <w:r w:rsidRPr="00BF447E">
              <w:rPr>
                <w:rFonts w:ascii="Symbol" w:hAnsi="Symbol" w:cs="Symbol"/>
                <w:color w:val="000000"/>
                <w:sz w:val="24"/>
                <w:szCs w:val="23"/>
              </w:rPr>
              <w:t></w:t>
            </w:r>
            <w:r w:rsidRPr="00BF447E">
              <w:rPr>
                <w:rFonts w:ascii="Symbol" w:hAnsi="Symbol" w:cs="Symbol"/>
                <w:color w:val="000000"/>
                <w:sz w:val="24"/>
                <w:szCs w:val="23"/>
              </w:rPr>
              <w:t></w:t>
            </w:r>
            <w:r w:rsidRPr="00BF447E">
              <w:rPr>
                <w:rFonts w:ascii="Arial" w:hAnsi="Arial" w:cs="Arial"/>
                <w:color w:val="000000"/>
                <w:sz w:val="24"/>
                <w:szCs w:val="23"/>
              </w:rPr>
              <w:t xml:space="preserve">stellen den Vorgang von der durch einen Reiz ausgelösten Erregung von Sinneszellen bis zur Entstehung des Sinneseindrucks bzw. der Wahrnehmung im Gehirn unter Verwendung fachspezifischer Darstellungsformen in Grundzügen dar (K1, K3), </w:t>
            </w:r>
          </w:p>
        </w:tc>
      </w:tr>
      <w:tr w:rsidR="00EA416C" w:rsidRPr="00B67E65" w:rsidTr="00116625">
        <w:tc>
          <w:tcPr>
            <w:tcW w:w="11194" w:type="dxa"/>
            <w:shd w:val="clear" w:color="auto" w:fill="E2EFD9" w:themeFill="accent6" w:themeFillTint="33"/>
          </w:tcPr>
          <w:p w:rsidR="00EA416C" w:rsidRPr="006A0FAF" w:rsidRDefault="00116625" w:rsidP="00BA09BD">
            <w:pPr>
              <w:autoSpaceDE w:val="0"/>
              <w:autoSpaceDN w:val="0"/>
              <w:adjustRightInd w:val="0"/>
              <w:rPr>
                <w:rFonts w:ascii="Symbol" w:hAnsi="Symbol" w:cs="Symbol"/>
                <w:color w:val="000000"/>
                <w:sz w:val="24"/>
                <w:szCs w:val="23"/>
              </w:rPr>
            </w:pPr>
            <w:r w:rsidRPr="00116625">
              <w:rPr>
                <w:rFonts w:ascii="Symbol" w:hAnsi="Symbol" w:cs="Symbol"/>
                <w:color w:val="000000"/>
                <w:sz w:val="24"/>
                <w:szCs w:val="23"/>
              </w:rPr>
              <w:t></w:t>
            </w:r>
            <w:r w:rsidRPr="00116625">
              <w:rPr>
                <w:rFonts w:ascii="Symbol" w:hAnsi="Symbol" w:cs="Symbol"/>
                <w:color w:val="000000"/>
                <w:sz w:val="24"/>
                <w:szCs w:val="23"/>
              </w:rPr>
              <w:t></w:t>
            </w:r>
            <w:r w:rsidRPr="00116625">
              <w:rPr>
                <w:rFonts w:ascii="Arial" w:hAnsi="Arial" w:cs="Arial"/>
                <w:color w:val="000000"/>
                <w:sz w:val="24"/>
                <w:szCs w:val="23"/>
              </w:rPr>
              <w:t xml:space="preserve">dokumentieren und präsentieren die Wirkung von </w:t>
            </w:r>
            <w:proofErr w:type="spellStart"/>
            <w:r w:rsidRPr="00116625">
              <w:rPr>
                <w:rFonts w:ascii="Arial" w:hAnsi="Arial" w:cs="Arial"/>
                <w:color w:val="000000"/>
                <w:sz w:val="24"/>
                <w:szCs w:val="23"/>
              </w:rPr>
              <w:t>endo</w:t>
            </w:r>
            <w:proofErr w:type="spellEnd"/>
            <w:r w:rsidRPr="00116625">
              <w:rPr>
                <w:rFonts w:ascii="Arial" w:hAnsi="Arial" w:cs="Arial"/>
                <w:color w:val="000000"/>
                <w:sz w:val="24"/>
                <w:szCs w:val="23"/>
              </w:rPr>
              <w:t>- und exogenen Stoffen auf Vorgänge am Axon, der Synapse und auf Gehirnareale an konkreten Beispielen (K1, K3, UF2),</w:t>
            </w:r>
          </w:p>
        </w:tc>
        <w:tc>
          <w:tcPr>
            <w:tcW w:w="11198" w:type="dxa"/>
            <w:shd w:val="clear" w:color="auto" w:fill="E2EFD9" w:themeFill="accent6" w:themeFillTint="33"/>
          </w:tcPr>
          <w:p w:rsidR="00EA416C" w:rsidRPr="006A0FAF" w:rsidRDefault="00EA416C" w:rsidP="00BA09BD">
            <w:pPr>
              <w:autoSpaceDE w:val="0"/>
              <w:autoSpaceDN w:val="0"/>
              <w:adjustRightInd w:val="0"/>
              <w:rPr>
                <w:rFonts w:ascii="Symbol" w:hAnsi="Symbol" w:cs="Symbol"/>
                <w:color w:val="000000"/>
                <w:sz w:val="24"/>
                <w:szCs w:val="23"/>
              </w:rPr>
            </w:pPr>
            <w:r w:rsidRPr="00BF447E">
              <w:rPr>
                <w:rFonts w:ascii="Symbol" w:hAnsi="Symbol" w:cs="Symbol"/>
                <w:color w:val="000000"/>
                <w:sz w:val="24"/>
                <w:szCs w:val="23"/>
              </w:rPr>
              <w:t></w:t>
            </w:r>
            <w:r w:rsidRPr="00BF447E">
              <w:rPr>
                <w:rFonts w:ascii="Symbol" w:hAnsi="Symbol" w:cs="Symbol"/>
                <w:color w:val="000000"/>
                <w:sz w:val="24"/>
                <w:szCs w:val="23"/>
              </w:rPr>
              <w:t></w:t>
            </w:r>
            <w:r w:rsidRPr="00BF447E">
              <w:rPr>
                <w:rFonts w:ascii="Arial" w:hAnsi="Arial" w:cs="Arial"/>
                <w:color w:val="000000"/>
                <w:sz w:val="24"/>
                <w:szCs w:val="23"/>
              </w:rPr>
              <w:t xml:space="preserve">dokumentieren und präsentieren die Wirkung von </w:t>
            </w:r>
            <w:proofErr w:type="spellStart"/>
            <w:r w:rsidRPr="00BF447E">
              <w:rPr>
                <w:rFonts w:ascii="Arial" w:hAnsi="Arial" w:cs="Arial"/>
                <w:color w:val="000000"/>
                <w:sz w:val="24"/>
                <w:szCs w:val="23"/>
              </w:rPr>
              <w:t>endo</w:t>
            </w:r>
            <w:proofErr w:type="spellEnd"/>
            <w:r w:rsidRPr="00BF447E">
              <w:rPr>
                <w:rFonts w:ascii="Arial" w:hAnsi="Arial" w:cs="Arial"/>
                <w:color w:val="000000"/>
                <w:sz w:val="24"/>
                <w:szCs w:val="23"/>
              </w:rPr>
              <w:t>- und exogenen Stoffen auf Vorgänge am Axon, der Synapse und auf Gehirnareale an kon</w:t>
            </w:r>
            <w:r w:rsidRPr="006A0FAF">
              <w:rPr>
                <w:rFonts w:ascii="Arial" w:hAnsi="Arial" w:cs="Arial"/>
                <w:color w:val="000000"/>
                <w:sz w:val="24"/>
                <w:szCs w:val="23"/>
              </w:rPr>
              <w:t>kreten Beispielen (K1, K3, UF2),</w:t>
            </w:r>
          </w:p>
        </w:tc>
      </w:tr>
      <w:tr w:rsidR="00EA416C" w:rsidRPr="00B67E65" w:rsidTr="00116625">
        <w:tc>
          <w:tcPr>
            <w:tcW w:w="11194" w:type="dxa"/>
            <w:shd w:val="clear" w:color="auto" w:fill="D9E2F3" w:themeFill="accent5" w:themeFillTint="33"/>
          </w:tcPr>
          <w:p w:rsidR="00EA416C" w:rsidRPr="006A0FAF" w:rsidRDefault="00116625" w:rsidP="00116625">
            <w:pPr>
              <w:autoSpaceDE w:val="0"/>
              <w:autoSpaceDN w:val="0"/>
              <w:adjustRightInd w:val="0"/>
              <w:rPr>
                <w:rFonts w:ascii="Arial" w:hAnsi="Arial" w:cs="Arial"/>
                <w:color w:val="000000"/>
                <w:sz w:val="24"/>
                <w:szCs w:val="23"/>
              </w:rPr>
            </w:pPr>
            <w:r w:rsidRPr="00116625">
              <w:rPr>
                <w:rFonts w:ascii="Symbol" w:hAnsi="Symbol" w:cs="Symbol"/>
                <w:color w:val="000000"/>
                <w:sz w:val="24"/>
                <w:szCs w:val="23"/>
              </w:rPr>
              <w:t></w:t>
            </w:r>
            <w:r w:rsidRPr="00116625">
              <w:rPr>
                <w:rFonts w:ascii="Symbol" w:hAnsi="Symbol" w:cs="Symbol"/>
                <w:color w:val="000000"/>
                <w:sz w:val="24"/>
                <w:szCs w:val="23"/>
              </w:rPr>
              <w:t></w:t>
            </w:r>
            <w:r w:rsidRPr="00116625">
              <w:rPr>
                <w:rFonts w:ascii="Arial" w:hAnsi="Arial" w:cs="Arial"/>
                <w:color w:val="000000"/>
                <w:sz w:val="24"/>
                <w:szCs w:val="23"/>
              </w:rPr>
              <w:t>erklären Wirkungen von exogenen Subs</w:t>
            </w:r>
            <w:r w:rsidRPr="006A0FAF">
              <w:rPr>
                <w:rFonts w:ascii="Arial" w:hAnsi="Arial" w:cs="Arial"/>
                <w:color w:val="000000"/>
                <w:sz w:val="24"/>
                <w:szCs w:val="23"/>
              </w:rPr>
              <w:t>tanzen auf den Körper und bewer</w:t>
            </w:r>
            <w:r w:rsidRPr="00116625">
              <w:rPr>
                <w:rFonts w:ascii="Arial" w:hAnsi="Arial" w:cs="Arial"/>
                <w:color w:val="000000"/>
                <w:sz w:val="24"/>
                <w:szCs w:val="23"/>
              </w:rPr>
              <w:t>ten mögliche Folgen für Individuum und Gesellschaft (B3, B4, B2, UF4)</w:t>
            </w:r>
            <w:r w:rsidRPr="006A0FAF">
              <w:rPr>
                <w:rFonts w:ascii="Arial" w:hAnsi="Arial" w:cs="Arial"/>
                <w:color w:val="000000"/>
                <w:sz w:val="24"/>
                <w:szCs w:val="23"/>
              </w:rPr>
              <w:t>,</w:t>
            </w:r>
            <w:r w:rsidRPr="00116625">
              <w:rPr>
                <w:rFonts w:ascii="Arial" w:hAnsi="Arial" w:cs="Arial"/>
                <w:color w:val="000000"/>
                <w:sz w:val="24"/>
                <w:szCs w:val="23"/>
              </w:rPr>
              <w:t xml:space="preserve"> </w:t>
            </w:r>
          </w:p>
        </w:tc>
        <w:tc>
          <w:tcPr>
            <w:tcW w:w="11198" w:type="dxa"/>
            <w:shd w:val="clear" w:color="auto" w:fill="D9E2F3" w:themeFill="accent5" w:themeFillTint="33"/>
          </w:tcPr>
          <w:p w:rsidR="00EA416C" w:rsidRPr="006A0FAF" w:rsidRDefault="00EA416C" w:rsidP="00BA09BD">
            <w:pPr>
              <w:autoSpaceDE w:val="0"/>
              <w:autoSpaceDN w:val="0"/>
              <w:adjustRightInd w:val="0"/>
              <w:rPr>
                <w:rFonts w:ascii="Symbol" w:hAnsi="Symbol" w:cs="Symbol"/>
                <w:color w:val="000000"/>
                <w:sz w:val="24"/>
                <w:szCs w:val="23"/>
              </w:rPr>
            </w:pPr>
            <w:r w:rsidRPr="00EA416C">
              <w:rPr>
                <w:rFonts w:ascii="Symbol" w:hAnsi="Symbol" w:cs="Symbol"/>
                <w:color w:val="000000"/>
                <w:sz w:val="24"/>
                <w:szCs w:val="23"/>
              </w:rPr>
              <w:t></w:t>
            </w:r>
            <w:r w:rsidRPr="00EA416C">
              <w:rPr>
                <w:rFonts w:ascii="Symbol" w:hAnsi="Symbol" w:cs="Symbol"/>
                <w:color w:val="000000"/>
                <w:sz w:val="24"/>
                <w:szCs w:val="23"/>
              </w:rPr>
              <w:t></w:t>
            </w:r>
            <w:r w:rsidRPr="00EA416C">
              <w:rPr>
                <w:rFonts w:ascii="Arial" w:hAnsi="Arial" w:cs="Arial"/>
                <w:color w:val="000000"/>
                <w:sz w:val="24"/>
                <w:szCs w:val="23"/>
              </w:rPr>
              <w:t xml:space="preserve">leiten Wirkungen von </w:t>
            </w:r>
            <w:proofErr w:type="spellStart"/>
            <w:r w:rsidRPr="00EA416C">
              <w:rPr>
                <w:rFonts w:ascii="Arial" w:hAnsi="Arial" w:cs="Arial"/>
                <w:color w:val="000000"/>
                <w:sz w:val="24"/>
                <w:szCs w:val="23"/>
              </w:rPr>
              <w:t>endo</w:t>
            </w:r>
            <w:proofErr w:type="spellEnd"/>
            <w:r w:rsidRPr="00EA416C">
              <w:rPr>
                <w:rFonts w:ascii="Arial" w:hAnsi="Arial" w:cs="Arial"/>
                <w:color w:val="000000"/>
                <w:sz w:val="24"/>
                <w:szCs w:val="23"/>
              </w:rPr>
              <w:t>- und exogenen Substanzen (u.a. von Neuro-</w:t>
            </w:r>
            <w:proofErr w:type="spellStart"/>
            <w:r w:rsidRPr="00EA416C">
              <w:rPr>
                <w:rFonts w:ascii="Arial" w:hAnsi="Arial" w:cs="Arial"/>
                <w:color w:val="000000"/>
                <w:sz w:val="24"/>
                <w:szCs w:val="23"/>
              </w:rPr>
              <w:t>enhancern</w:t>
            </w:r>
            <w:proofErr w:type="spellEnd"/>
            <w:r w:rsidRPr="00EA416C">
              <w:rPr>
                <w:rFonts w:ascii="Arial" w:hAnsi="Arial" w:cs="Arial"/>
                <w:color w:val="000000"/>
                <w:sz w:val="24"/>
                <w:szCs w:val="23"/>
              </w:rPr>
              <w:t>) auf die Gesundheit ab und be</w:t>
            </w:r>
            <w:r w:rsidRPr="006A0FAF">
              <w:rPr>
                <w:rFonts w:ascii="Arial" w:hAnsi="Arial" w:cs="Arial"/>
                <w:color w:val="000000"/>
                <w:sz w:val="24"/>
                <w:szCs w:val="23"/>
              </w:rPr>
              <w:t>werten mögliche Folgen für Indi</w:t>
            </w:r>
            <w:r w:rsidRPr="00EA416C">
              <w:rPr>
                <w:rFonts w:ascii="Arial" w:hAnsi="Arial" w:cs="Arial"/>
                <w:color w:val="000000"/>
                <w:sz w:val="24"/>
                <w:szCs w:val="23"/>
              </w:rPr>
              <w:t>viduum und Gesel</w:t>
            </w:r>
            <w:r w:rsidRPr="006A0FAF">
              <w:rPr>
                <w:rFonts w:ascii="Arial" w:hAnsi="Arial" w:cs="Arial"/>
                <w:color w:val="000000"/>
                <w:sz w:val="24"/>
                <w:szCs w:val="23"/>
              </w:rPr>
              <w:t>lschaft (B3, B4, B2, UF2, UF4),</w:t>
            </w:r>
          </w:p>
        </w:tc>
      </w:tr>
      <w:tr w:rsidR="00BA09BD" w:rsidRPr="00B67E65" w:rsidTr="00877FBC">
        <w:tc>
          <w:tcPr>
            <w:tcW w:w="11194" w:type="dxa"/>
            <w:shd w:val="clear" w:color="auto" w:fill="FFF2CC" w:themeFill="accent4" w:themeFillTint="33"/>
          </w:tcPr>
          <w:p w:rsidR="00BA09BD" w:rsidRPr="006A0FAF" w:rsidRDefault="00BA09BD" w:rsidP="00BA09BD">
            <w:pPr>
              <w:autoSpaceDE w:val="0"/>
              <w:autoSpaceDN w:val="0"/>
              <w:adjustRightInd w:val="0"/>
              <w:rPr>
                <w:rFonts w:ascii="Arial" w:hAnsi="Arial" w:cs="Arial"/>
                <w:color w:val="000000"/>
                <w:sz w:val="24"/>
                <w:szCs w:val="23"/>
              </w:rPr>
            </w:pPr>
            <w:r w:rsidRPr="00054F89">
              <w:rPr>
                <w:rFonts w:ascii="Symbol" w:hAnsi="Symbol" w:cs="Symbol"/>
                <w:color w:val="000000"/>
                <w:sz w:val="24"/>
                <w:szCs w:val="23"/>
              </w:rPr>
              <w:t></w:t>
            </w:r>
            <w:r w:rsidRPr="00054F89">
              <w:rPr>
                <w:rFonts w:ascii="Symbol" w:hAnsi="Symbol" w:cs="Symbol"/>
                <w:color w:val="000000"/>
                <w:sz w:val="24"/>
                <w:szCs w:val="23"/>
              </w:rPr>
              <w:t></w:t>
            </w:r>
            <w:r w:rsidRPr="00054F89">
              <w:rPr>
                <w:rFonts w:ascii="Arial" w:hAnsi="Arial" w:cs="Arial"/>
                <w:color w:val="000000"/>
                <w:sz w:val="24"/>
                <w:szCs w:val="23"/>
              </w:rPr>
              <w:t>erklären die Bedeutung der Plastizität des Gehirns für</w:t>
            </w:r>
            <w:r w:rsidRPr="006A0FAF">
              <w:rPr>
                <w:rFonts w:ascii="Arial" w:hAnsi="Arial" w:cs="Arial"/>
                <w:color w:val="000000"/>
                <w:sz w:val="24"/>
                <w:szCs w:val="23"/>
              </w:rPr>
              <w:t xml:space="preserve"> ein lebenslanges Lernen (UF4),</w:t>
            </w:r>
          </w:p>
        </w:tc>
        <w:tc>
          <w:tcPr>
            <w:tcW w:w="11198" w:type="dxa"/>
            <w:shd w:val="clear" w:color="auto" w:fill="FFCCCC"/>
          </w:tcPr>
          <w:p w:rsidR="00BA09BD" w:rsidRPr="006A0FAF" w:rsidRDefault="00BA09BD" w:rsidP="00BA09BD">
            <w:pPr>
              <w:autoSpaceDE w:val="0"/>
              <w:autoSpaceDN w:val="0"/>
              <w:adjustRightInd w:val="0"/>
              <w:rPr>
                <w:rFonts w:ascii="Arial" w:hAnsi="Arial" w:cs="Arial"/>
                <w:color w:val="000000"/>
                <w:sz w:val="24"/>
                <w:szCs w:val="23"/>
              </w:rPr>
            </w:pPr>
            <w:r w:rsidRPr="00877FBC">
              <w:rPr>
                <w:rFonts w:ascii="Symbol" w:hAnsi="Symbol" w:cs="Symbol"/>
                <w:color w:val="000000"/>
                <w:sz w:val="24"/>
                <w:szCs w:val="23"/>
              </w:rPr>
              <w:t></w:t>
            </w:r>
            <w:r w:rsidRPr="00877FBC">
              <w:rPr>
                <w:rFonts w:ascii="Symbol" w:hAnsi="Symbol" w:cs="Symbol"/>
                <w:color w:val="000000"/>
                <w:sz w:val="24"/>
                <w:szCs w:val="23"/>
              </w:rPr>
              <w:t></w:t>
            </w:r>
            <w:r w:rsidRPr="00877FBC">
              <w:rPr>
                <w:rFonts w:ascii="Arial" w:hAnsi="Arial" w:cs="Arial"/>
                <w:color w:val="000000"/>
                <w:sz w:val="24"/>
                <w:szCs w:val="23"/>
              </w:rPr>
              <w:t xml:space="preserve">erklären den Begriff der Plastizität anhand geeigneter Modelle und leiten die Bedeutung für ein lebenslanges Lernen ab (E6, UF4), </w:t>
            </w:r>
          </w:p>
        </w:tc>
      </w:tr>
      <w:tr w:rsidR="00BA09BD" w:rsidRPr="00B67E65" w:rsidTr="00116625">
        <w:tc>
          <w:tcPr>
            <w:tcW w:w="11194" w:type="dxa"/>
            <w:shd w:val="clear" w:color="auto" w:fill="E2EFD9" w:themeFill="accent6" w:themeFillTint="33"/>
          </w:tcPr>
          <w:p w:rsidR="00BA09BD" w:rsidRPr="006A0FAF" w:rsidRDefault="00116625" w:rsidP="00BA09BD">
            <w:pPr>
              <w:autoSpaceDE w:val="0"/>
              <w:autoSpaceDN w:val="0"/>
              <w:adjustRightInd w:val="0"/>
              <w:rPr>
                <w:rFonts w:ascii="Arial" w:hAnsi="Arial" w:cs="Arial"/>
                <w:color w:val="000000"/>
                <w:sz w:val="24"/>
                <w:szCs w:val="23"/>
              </w:rPr>
            </w:pPr>
            <w:r w:rsidRPr="00116625">
              <w:rPr>
                <w:rFonts w:ascii="Symbol" w:hAnsi="Symbol" w:cs="Symbol"/>
                <w:color w:val="000000"/>
                <w:sz w:val="24"/>
                <w:szCs w:val="23"/>
              </w:rPr>
              <w:t></w:t>
            </w:r>
            <w:r w:rsidRPr="00116625">
              <w:rPr>
                <w:rFonts w:ascii="Symbol" w:hAnsi="Symbol" w:cs="Symbol"/>
                <w:color w:val="000000"/>
                <w:sz w:val="24"/>
                <w:szCs w:val="23"/>
              </w:rPr>
              <w:t></w:t>
            </w:r>
            <w:r w:rsidRPr="00116625">
              <w:rPr>
                <w:rFonts w:ascii="Arial" w:hAnsi="Arial" w:cs="Arial"/>
                <w:color w:val="000000"/>
                <w:sz w:val="24"/>
                <w:szCs w:val="23"/>
              </w:rPr>
              <w:t xml:space="preserve">stellen aktuelle Modellvorstellungen zum Gedächtnis auf anatomisch-physiologischer Ebene dar (K3, B1), </w:t>
            </w:r>
          </w:p>
        </w:tc>
        <w:tc>
          <w:tcPr>
            <w:tcW w:w="11198" w:type="dxa"/>
            <w:shd w:val="clear" w:color="auto" w:fill="E2EFD9" w:themeFill="accent6" w:themeFillTint="33"/>
          </w:tcPr>
          <w:p w:rsidR="00BA09BD" w:rsidRPr="006A0FAF" w:rsidRDefault="00BA09BD" w:rsidP="00BA09BD">
            <w:pPr>
              <w:autoSpaceDE w:val="0"/>
              <w:autoSpaceDN w:val="0"/>
              <w:adjustRightInd w:val="0"/>
              <w:rPr>
                <w:rFonts w:ascii="Arial" w:hAnsi="Arial" w:cs="Arial"/>
                <w:color w:val="000000"/>
                <w:sz w:val="24"/>
                <w:szCs w:val="23"/>
              </w:rPr>
            </w:pPr>
            <w:r w:rsidRPr="00BF447E">
              <w:rPr>
                <w:rFonts w:ascii="Symbol" w:hAnsi="Symbol" w:cs="Symbol"/>
                <w:color w:val="000000"/>
                <w:sz w:val="24"/>
                <w:szCs w:val="23"/>
              </w:rPr>
              <w:t></w:t>
            </w:r>
            <w:r w:rsidRPr="00BF447E">
              <w:rPr>
                <w:rFonts w:ascii="Symbol" w:hAnsi="Symbol" w:cs="Symbol"/>
                <w:color w:val="000000"/>
                <w:sz w:val="24"/>
                <w:szCs w:val="23"/>
              </w:rPr>
              <w:t></w:t>
            </w:r>
            <w:r w:rsidRPr="00BF447E">
              <w:rPr>
                <w:rFonts w:ascii="Arial" w:hAnsi="Arial" w:cs="Arial"/>
                <w:color w:val="000000"/>
                <w:sz w:val="24"/>
                <w:szCs w:val="23"/>
              </w:rPr>
              <w:t xml:space="preserve">stellen aktuelle Modellvorstellungen zum Gedächtnis auf anatomisch-physiologischer Ebene dar (K3, B1), </w:t>
            </w:r>
          </w:p>
        </w:tc>
      </w:tr>
      <w:tr w:rsidR="00BA09BD" w:rsidRPr="00B67E65" w:rsidTr="0040699D">
        <w:tc>
          <w:tcPr>
            <w:tcW w:w="11194" w:type="dxa"/>
            <w:shd w:val="clear" w:color="auto" w:fill="FFCCCC"/>
          </w:tcPr>
          <w:p w:rsidR="00BA09BD" w:rsidRPr="006A0FAF" w:rsidRDefault="0040699D" w:rsidP="0040699D">
            <w:pPr>
              <w:autoSpaceDE w:val="0"/>
              <w:autoSpaceDN w:val="0"/>
              <w:adjustRightInd w:val="0"/>
              <w:rPr>
                <w:rFonts w:ascii="Arial" w:hAnsi="Arial" w:cs="Arial"/>
                <w:color w:val="000000"/>
                <w:sz w:val="24"/>
                <w:szCs w:val="23"/>
              </w:rPr>
            </w:pPr>
            <w:r w:rsidRPr="0040699D">
              <w:rPr>
                <w:rFonts w:ascii="Symbol" w:hAnsi="Symbol" w:cs="Symbol"/>
                <w:color w:val="000000"/>
                <w:sz w:val="24"/>
                <w:szCs w:val="23"/>
              </w:rPr>
              <w:t></w:t>
            </w:r>
            <w:r w:rsidRPr="0040699D">
              <w:rPr>
                <w:rFonts w:ascii="Symbol" w:hAnsi="Symbol" w:cs="Symbol"/>
                <w:color w:val="000000"/>
                <w:sz w:val="24"/>
                <w:szCs w:val="23"/>
              </w:rPr>
              <w:t></w:t>
            </w:r>
            <w:r w:rsidRPr="0040699D">
              <w:rPr>
                <w:rFonts w:ascii="Arial" w:hAnsi="Arial" w:cs="Arial"/>
                <w:color w:val="000000"/>
                <w:sz w:val="24"/>
                <w:szCs w:val="23"/>
              </w:rPr>
              <w:t>ermitteln mithilfe von Aufnahmen eines bildgebenden Verfahrens Aktivitäten versch</w:t>
            </w:r>
            <w:r w:rsidRPr="006A0FAF">
              <w:rPr>
                <w:rFonts w:ascii="Arial" w:hAnsi="Arial" w:cs="Arial"/>
                <w:color w:val="000000"/>
                <w:sz w:val="24"/>
                <w:szCs w:val="23"/>
              </w:rPr>
              <w:t>iedener Gehirnareale (E5, UF4),</w:t>
            </w:r>
          </w:p>
        </w:tc>
        <w:tc>
          <w:tcPr>
            <w:tcW w:w="11198" w:type="dxa"/>
            <w:shd w:val="clear" w:color="auto" w:fill="FFF2CC" w:themeFill="accent4" w:themeFillTint="33"/>
          </w:tcPr>
          <w:p w:rsidR="00BA09BD" w:rsidRPr="006A0FAF" w:rsidRDefault="00BA09BD" w:rsidP="00BA09BD">
            <w:pPr>
              <w:autoSpaceDE w:val="0"/>
              <w:autoSpaceDN w:val="0"/>
              <w:adjustRightInd w:val="0"/>
              <w:rPr>
                <w:rFonts w:ascii="Arial" w:hAnsi="Arial" w:cs="Arial"/>
                <w:color w:val="000000"/>
                <w:sz w:val="24"/>
                <w:szCs w:val="23"/>
              </w:rPr>
            </w:pPr>
            <w:r w:rsidRPr="00AC7DB2">
              <w:rPr>
                <w:rFonts w:ascii="Symbol" w:hAnsi="Symbol" w:cs="Symbol"/>
                <w:color w:val="000000"/>
                <w:sz w:val="24"/>
                <w:szCs w:val="23"/>
              </w:rPr>
              <w:t></w:t>
            </w:r>
            <w:r w:rsidRPr="00AC7DB2">
              <w:rPr>
                <w:rFonts w:ascii="Symbol" w:hAnsi="Symbol" w:cs="Symbol"/>
                <w:color w:val="000000"/>
                <w:sz w:val="24"/>
                <w:szCs w:val="23"/>
              </w:rPr>
              <w:t></w:t>
            </w:r>
            <w:r w:rsidRPr="00AC7DB2">
              <w:rPr>
                <w:rFonts w:ascii="Arial" w:hAnsi="Arial" w:cs="Arial"/>
                <w:color w:val="000000"/>
                <w:sz w:val="24"/>
                <w:szCs w:val="23"/>
              </w:rPr>
              <w:t xml:space="preserve">stellen Möglichkeiten und Grenzen bildgebender Verfahren zur Anatomie und zur Funktion des Gehirns (PET und </w:t>
            </w:r>
            <w:proofErr w:type="spellStart"/>
            <w:r w:rsidRPr="00AC7DB2">
              <w:rPr>
                <w:rFonts w:ascii="Arial" w:hAnsi="Arial" w:cs="Arial"/>
                <w:color w:val="000000"/>
                <w:sz w:val="24"/>
                <w:szCs w:val="23"/>
              </w:rPr>
              <w:t>fMRT</w:t>
            </w:r>
            <w:proofErr w:type="spellEnd"/>
            <w:r w:rsidRPr="00AC7DB2">
              <w:rPr>
                <w:rFonts w:ascii="Arial" w:hAnsi="Arial" w:cs="Arial"/>
                <w:color w:val="000000"/>
                <w:sz w:val="24"/>
                <w:szCs w:val="23"/>
              </w:rPr>
              <w:t>) gegenüber und bringen diese mit der Erforschung von Gehirnabläufen in Verbindung (UF4, UF1, B4)</w:t>
            </w:r>
            <w:r w:rsidRPr="006A0FAF">
              <w:rPr>
                <w:rFonts w:ascii="Arial" w:hAnsi="Arial" w:cs="Arial"/>
                <w:color w:val="000000"/>
                <w:sz w:val="24"/>
                <w:szCs w:val="23"/>
              </w:rPr>
              <w:t>,</w:t>
            </w:r>
            <w:r w:rsidRPr="00AC7DB2">
              <w:rPr>
                <w:rFonts w:ascii="Arial" w:hAnsi="Arial" w:cs="Arial"/>
                <w:color w:val="000000"/>
                <w:sz w:val="24"/>
                <w:szCs w:val="23"/>
              </w:rPr>
              <w:t xml:space="preserve"> </w:t>
            </w:r>
          </w:p>
        </w:tc>
      </w:tr>
      <w:tr w:rsidR="00EA416C" w:rsidRPr="00B67E65" w:rsidTr="00116625">
        <w:tc>
          <w:tcPr>
            <w:tcW w:w="11194" w:type="dxa"/>
            <w:shd w:val="clear" w:color="auto" w:fill="E2EFD9" w:themeFill="accent6" w:themeFillTint="33"/>
          </w:tcPr>
          <w:p w:rsidR="00EA416C" w:rsidRPr="006A0FAF" w:rsidRDefault="00116625" w:rsidP="00BA09BD">
            <w:pPr>
              <w:autoSpaceDE w:val="0"/>
              <w:autoSpaceDN w:val="0"/>
              <w:adjustRightInd w:val="0"/>
              <w:rPr>
                <w:rFonts w:ascii="Arial" w:hAnsi="Arial" w:cs="Arial"/>
                <w:color w:val="000000"/>
                <w:sz w:val="24"/>
                <w:szCs w:val="24"/>
              </w:rPr>
            </w:pPr>
            <w:r w:rsidRPr="00116625">
              <w:rPr>
                <w:rFonts w:ascii="Symbol" w:hAnsi="Symbol" w:cs="Symbol"/>
                <w:color w:val="000000"/>
                <w:sz w:val="24"/>
                <w:szCs w:val="24"/>
              </w:rPr>
              <w:t></w:t>
            </w:r>
            <w:r w:rsidRPr="00116625">
              <w:rPr>
                <w:rFonts w:ascii="Symbol" w:hAnsi="Symbol" w:cs="Symbol"/>
                <w:color w:val="000000"/>
                <w:sz w:val="24"/>
                <w:szCs w:val="24"/>
              </w:rPr>
              <w:t></w:t>
            </w:r>
            <w:r w:rsidRPr="00116625">
              <w:rPr>
                <w:rFonts w:ascii="Arial" w:hAnsi="Arial" w:cs="Arial"/>
                <w:color w:val="000000"/>
                <w:sz w:val="24"/>
                <w:szCs w:val="24"/>
              </w:rPr>
              <w:t>recherchieren und präsentieren aktuelle wissenschaftliche Erkenntnisse zu einer deg</w:t>
            </w:r>
            <w:r w:rsidRPr="006A0FAF">
              <w:rPr>
                <w:rFonts w:ascii="Arial" w:hAnsi="Arial" w:cs="Arial"/>
                <w:color w:val="000000"/>
                <w:sz w:val="24"/>
                <w:szCs w:val="24"/>
              </w:rPr>
              <w:t>enerativen Erkrankung (K2, K3).</w:t>
            </w:r>
          </w:p>
        </w:tc>
        <w:tc>
          <w:tcPr>
            <w:tcW w:w="11198" w:type="dxa"/>
            <w:shd w:val="clear" w:color="auto" w:fill="E2EFD9" w:themeFill="accent6" w:themeFillTint="33"/>
          </w:tcPr>
          <w:p w:rsidR="00EA416C" w:rsidRPr="006A0FAF" w:rsidRDefault="00EA416C" w:rsidP="00EA416C">
            <w:pPr>
              <w:autoSpaceDE w:val="0"/>
              <w:autoSpaceDN w:val="0"/>
              <w:adjustRightInd w:val="0"/>
              <w:rPr>
                <w:rFonts w:ascii="Symbol" w:hAnsi="Symbol" w:cs="Symbol"/>
                <w:color w:val="000000"/>
                <w:sz w:val="24"/>
                <w:szCs w:val="23"/>
              </w:rPr>
            </w:pPr>
            <w:r w:rsidRPr="00BF447E">
              <w:rPr>
                <w:rFonts w:ascii="Symbol" w:hAnsi="Symbol" w:cs="Symbol"/>
                <w:color w:val="000000"/>
                <w:sz w:val="24"/>
                <w:szCs w:val="23"/>
              </w:rPr>
              <w:t></w:t>
            </w:r>
            <w:r w:rsidRPr="00BF447E">
              <w:rPr>
                <w:rFonts w:ascii="Symbol" w:hAnsi="Symbol" w:cs="Symbol"/>
                <w:color w:val="000000"/>
                <w:sz w:val="24"/>
                <w:szCs w:val="23"/>
              </w:rPr>
              <w:t></w:t>
            </w:r>
            <w:r w:rsidRPr="00BF447E">
              <w:rPr>
                <w:rFonts w:ascii="Arial" w:hAnsi="Arial" w:cs="Arial"/>
                <w:color w:val="000000"/>
                <w:sz w:val="24"/>
                <w:szCs w:val="23"/>
              </w:rPr>
              <w:t>recherchieren und präsentieren aktuelle wissenschaftliche Erkenntnisse zu einer deg</w:t>
            </w:r>
            <w:r w:rsidRPr="006A0FAF">
              <w:rPr>
                <w:rFonts w:ascii="Arial" w:hAnsi="Arial" w:cs="Arial"/>
                <w:color w:val="000000"/>
                <w:sz w:val="24"/>
                <w:szCs w:val="23"/>
              </w:rPr>
              <w:t>enerativen Erkrankung (K2, K3)</w:t>
            </w:r>
            <w:r w:rsidR="00116625" w:rsidRPr="006A0FAF">
              <w:rPr>
                <w:rFonts w:ascii="Arial" w:hAnsi="Arial" w:cs="Arial"/>
                <w:color w:val="000000"/>
                <w:sz w:val="24"/>
                <w:szCs w:val="23"/>
              </w:rPr>
              <w:t>.</w:t>
            </w:r>
          </w:p>
        </w:tc>
      </w:tr>
    </w:tbl>
    <w:p w:rsidR="006E4CEF" w:rsidRPr="00B67E65" w:rsidRDefault="006E4CEF" w:rsidP="004F18BA">
      <w:pPr>
        <w:rPr>
          <w:rFonts w:ascii="Arial" w:hAnsi="Arial" w:cs="Arial"/>
          <w:sz w:val="24"/>
          <w:szCs w:val="24"/>
        </w:rPr>
      </w:pPr>
      <w:bookmarkStart w:id="0" w:name="_GoBack"/>
      <w:bookmarkEnd w:id="0"/>
    </w:p>
    <w:sectPr w:rsidR="006E4CEF" w:rsidRPr="00B67E65" w:rsidSect="004365BA">
      <w:footerReference w:type="default" r:id="rId6"/>
      <w:pgSz w:w="23814" w:h="16839"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91" w:rsidRDefault="00A87391" w:rsidP="00AE42BE">
      <w:pPr>
        <w:spacing w:after="0" w:line="240" w:lineRule="auto"/>
      </w:pPr>
      <w:r>
        <w:separator/>
      </w:r>
    </w:p>
  </w:endnote>
  <w:endnote w:type="continuationSeparator" w:id="0">
    <w:p w:rsidR="00A87391" w:rsidRDefault="00A87391" w:rsidP="00AE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BE" w:rsidRDefault="00AE42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91" w:rsidRDefault="00A87391" w:rsidP="00AE42BE">
      <w:pPr>
        <w:spacing w:after="0" w:line="240" w:lineRule="auto"/>
      </w:pPr>
      <w:r>
        <w:separator/>
      </w:r>
    </w:p>
  </w:footnote>
  <w:footnote w:type="continuationSeparator" w:id="0">
    <w:p w:rsidR="00A87391" w:rsidRDefault="00A87391" w:rsidP="00AE4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52"/>
    <w:rsid w:val="0002789B"/>
    <w:rsid w:val="0003048C"/>
    <w:rsid w:val="00054F89"/>
    <w:rsid w:val="000621BD"/>
    <w:rsid w:val="00070201"/>
    <w:rsid w:val="000B6F9A"/>
    <w:rsid w:val="000B71AF"/>
    <w:rsid w:val="000F118E"/>
    <w:rsid w:val="0011252B"/>
    <w:rsid w:val="00116625"/>
    <w:rsid w:val="0013748A"/>
    <w:rsid w:val="00137CF2"/>
    <w:rsid w:val="001463C8"/>
    <w:rsid w:val="00150C6E"/>
    <w:rsid w:val="0015658A"/>
    <w:rsid w:val="00161B56"/>
    <w:rsid w:val="001806E9"/>
    <w:rsid w:val="00191694"/>
    <w:rsid w:val="00195ADC"/>
    <w:rsid w:val="001A0EA9"/>
    <w:rsid w:val="001D1728"/>
    <w:rsid w:val="001D45CE"/>
    <w:rsid w:val="001E2ECA"/>
    <w:rsid w:val="001F06AA"/>
    <w:rsid w:val="00307418"/>
    <w:rsid w:val="00397F6C"/>
    <w:rsid w:val="003A2E9C"/>
    <w:rsid w:val="003B7A9C"/>
    <w:rsid w:val="0040441B"/>
    <w:rsid w:val="0040699D"/>
    <w:rsid w:val="00410B3F"/>
    <w:rsid w:val="004129FA"/>
    <w:rsid w:val="004275DF"/>
    <w:rsid w:val="00435DC8"/>
    <w:rsid w:val="004365BA"/>
    <w:rsid w:val="004557DC"/>
    <w:rsid w:val="004653E6"/>
    <w:rsid w:val="00492C74"/>
    <w:rsid w:val="0049738B"/>
    <w:rsid w:val="004E3F22"/>
    <w:rsid w:val="004F18BA"/>
    <w:rsid w:val="004F4223"/>
    <w:rsid w:val="004F7DFB"/>
    <w:rsid w:val="005167EA"/>
    <w:rsid w:val="005323C1"/>
    <w:rsid w:val="00541852"/>
    <w:rsid w:val="0056030B"/>
    <w:rsid w:val="0057650C"/>
    <w:rsid w:val="00594C2A"/>
    <w:rsid w:val="005A6C97"/>
    <w:rsid w:val="005B1A6B"/>
    <w:rsid w:val="005F082C"/>
    <w:rsid w:val="005F5178"/>
    <w:rsid w:val="00614256"/>
    <w:rsid w:val="00631384"/>
    <w:rsid w:val="0064608F"/>
    <w:rsid w:val="006506C2"/>
    <w:rsid w:val="00655679"/>
    <w:rsid w:val="0066345B"/>
    <w:rsid w:val="0069104D"/>
    <w:rsid w:val="006A0FAF"/>
    <w:rsid w:val="006A5003"/>
    <w:rsid w:val="006D6E92"/>
    <w:rsid w:val="006E4CEF"/>
    <w:rsid w:val="006F0468"/>
    <w:rsid w:val="006F5E6A"/>
    <w:rsid w:val="00702A44"/>
    <w:rsid w:val="007140B2"/>
    <w:rsid w:val="00737C25"/>
    <w:rsid w:val="00742F82"/>
    <w:rsid w:val="0075607F"/>
    <w:rsid w:val="007635E2"/>
    <w:rsid w:val="0076744F"/>
    <w:rsid w:val="00777DD7"/>
    <w:rsid w:val="00793459"/>
    <w:rsid w:val="007C369D"/>
    <w:rsid w:val="007D1D10"/>
    <w:rsid w:val="007F5896"/>
    <w:rsid w:val="00803ACC"/>
    <w:rsid w:val="00804708"/>
    <w:rsid w:val="008271EC"/>
    <w:rsid w:val="008273CD"/>
    <w:rsid w:val="00835154"/>
    <w:rsid w:val="00842B73"/>
    <w:rsid w:val="0084626C"/>
    <w:rsid w:val="00852AAD"/>
    <w:rsid w:val="008718C3"/>
    <w:rsid w:val="00877FBC"/>
    <w:rsid w:val="00891E76"/>
    <w:rsid w:val="008B4780"/>
    <w:rsid w:val="008F13CC"/>
    <w:rsid w:val="0092126E"/>
    <w:rsid w:val="0093012F"/>
    <w:rsid w:val="00932402"/>
    <w:rsid w:val="00936B4C"/>
    <w:rsid w:val="00966618"/>
    <w:rsid w:val="00991687"/>
    <w:rsid w:val="009C6D3D"/>
    <w:rsid w:val="009D17CE"/>
    <w:rsid w:val="00A13489"/>
    <w:rsid w:val="00A43CC2"/>
    <w:rsid w:val="00A51FF6"/>
    <w:rsid w:val="00A57701"/>
    <w:rsid w:val="00A8427B"/>
    <w:rsid w:val="00A87391"/>
    <w:rsid w:val="00A908DA"/>
    <w:rsid w:val="00AA02A6"/>
    <w:rsid w:val="00AB2114"/>
    <w:rsid w:val="00AB345D"/>
    <w:rsid w:val="00AC7DB2"/>
    <w:rsid w:val="00AE42BE"/>
    <w:rsid w:val="00B67E65"/>
    <w:rsid w:val="00B91E16"/>
    <w:rsid w:val="00BA09BD"/>
    <w:rsid w:val="00BA4FBB"/>
    <w:rsid w:val="00BF447E"/>
    <w:rsid w:val="00C16B3E"/>
    <w:rsid w:val="00C42957"/>
    <w:rsid w:val="00C75F2C"/>
    <w:rsid w:val="00C87D24"/>
    <w:rsid w:val="00C92149"/>
    <w:rsid w:val="00CA36E6"/>
    <w:rsid w:val="00D020F8"/>
    <w:rsid w:val="00D076FA"/>
    <w:rsid w:val="00D45995"/>
    <w:rsid w:val="00D573D4"/>
    <w:rsid w:val="00D630BA"/>
    <w:rsid w:val="00D80B5D"/>
    <w:rsid w:val="00DA544F"/>
    <w:rsid w:val="00E03BAA"/>
    <w:rsid w:val="00E1337A"/>
    <w:rsid w:val="00E2080D"/>
    <w:rsid w:val="00E31D4C"/>
    <w:rsid w:val="00E504D7"/>
    <w:rsid w:val="00E86CF6"/>
    <w:rsid w:val="00EA416C"/>
    <w:rsid w:val="00EB6F17"/>
    <w:rsid w:val="00EE6D06"/>
    <w:rsid w:val="00EE7D52"/>
    <w:rsid w:val="00F01CE2"/>
    <w:rsid w:val="00F14D2A"/>
    <w:rsid w:val="00F75898"/>
    <w:rsid w:val="00F81A21"/>
    <w:rsid w:val="00F82089"/>
    <w:rsid w:val="00FA1C71"/>
    <w:rsid w:val="00FA4A61"/>
    <w:rsid w:val="00FC5D15"/>
    <w:rsid w:val="00FD5E6A"/>
    <w:rsid w:val="00FE380A"/>
    <w:rsid w:val="00FF6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3B2CD-4AB6-46D7-8118-21BAC5C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185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E42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2BE"/>
  </w:style>
  <w:style w:type="paragraph" w:styleId="Fuzeile">
    <w:name w:val="footer"/>
    <w:basedOn w:val="Standard"/>
    <w:link w:val="FuzeileZchn"/>
    <w:uiPriority w:val="99"/>
    <w:unhideWhenUsed/>
    <w:rsid w:val="00AE42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2BE"/>
  </w:style>
  <w:style w:type="paragraph" w:styleId="Sprechblasentext">
    <w:name w:val="Balloon Text"/>
    <w:basedOn w:val="Standard"/>
    <w:link w:val="SprechblasentextZchn"/>
    <w:uiPriority w:val="99"/>
    <w:semiHidden/>
    <w:unhideWhenUsed/>
    <w:rsid w:val="00E2080D"/>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E2080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Eigenschaften von Inhaltsfeld 4 Neurobiologie</dc:title>
  <dc:subject>Eigenschaften von Inhaltsfeld 4 Neurobiologie im Leistungskurs und Grundkurs</dc:subject>
  <dc:creator>QUA-LiS NRW</dc:creator>
  <cp:keywords>Leistungskurs, Grundkurs, Neurobiologie, Inhaltsfeld 4,  Gymnasium; Biologie; Sekundarstufe II</cp:keywords>
  <dc:description/>
  <cp:lastModifiedBy>Lilla</cp:lastModifiedBy>
  <cp:revision>18</cp:revision>
  <cp:lastPrinted>2014-01-12T16:59:00Z</cp:lastPrinted>
  <dcterms:created xsi:type="dcterms:W3CDTF">2014-01-19T10:29:00Z</dcterms:created>
  <dcterms:modified xsi:type="dcterms:W3CDTF">2014-01-19T11:50:00Z</dcterms:modified>
</cp:coreProperties>
</file>