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8" w:rsidRPr="00396942" w:rsidRDefault="00656C09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t>Inhaltsfeld III: Genetik</w:t>
      </w:r>
      <w:r w:rsidR="00310D12" w:rsidRPr="00396942">
        <w:rPr>
          <w:b/>
          <w:color w:val="FFFFFF" w:themeColor="background1"/>
          <w:sz w:val="40"/>
          <w:szCs w:val="40"/>
        </w:rPr>
        <w:t xml:space="preserve"> (Lei</w:t>
      </w:r>
      <w:r w:rsidR="0030648F" w:rsidRPr="00396942">
        <w:rPr>
          <w:b/>
          <w:color w:val="FFFFFF" w:themeColor="background1"/>
          <w:sz w:val="40"/>
          <w:szCs w:val="40"/>
        </w:rPr>
        <w:t>s</w:t>
      </w:r>
      <w:r w:rsidR="00310D12" w:rsidRPr="00396942">
        <w:rPr>
          <w:b/>
          <w:color w:val="FFFFFF" w:themeColor="background1"/>
          <w:sz w:val="40"/>
          <w:szCs w:val="40"/>
        </w:rPr>
        <w:t>tungskurs</w:t>
      </w:r>
      <w:r w:rsidR="007A60DC" w:rsidRPr="00396942">
        <w:rPr>
          <w:b/>
          <w:color w:val="FFFFFF" w:themeColor="background1"/>
          <w:sz w:val="40"/>
          <w:szCs w:val="40"/>
        </w:rPr>
        <w:t>)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56C09" w:rsidRDefault="00656C09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</w:t>
            </w:r>
            <w:r w:rsidR="006E64BE" w:rsidRPr="00396942">
              <w:rPr>
                <w:b/>
                <w:sz w:val="40"/>
                <w:szCs w:val="40"/>
              </w:rPr>
              <w:t>.</w:t>
            </w:r>
            <w:r w:rsidR="00E0501D" w:rsidRPr="00396942">
              <w:rPr>
                <w:b/>
                <w:sz w:val="40"/>
                <w:szCs w:val="40"/>
              </w:rPr>
              <w:t>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656C09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erläutern die Grundprinzipien der inter-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intrachromosomalen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Rekombination (Reduktion und Neukombination der Chromosomen) b</w:t>
            </w:r>
            <w:r w:rsidR="006B2C26" w:rsidRPr="00396942">
              <w:rPr>
                <w:b/>
                <w:iCs/>
                <w:sz w:val="40"/>
                <w:szCs w:val="40"/>
              </w:rPr>
              <w:t>ei Meiose und Befruchtung (UF4)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vergleichen die molekularbiologischen Abläufe in der Proteinbiosynthese bei Pro- und Eukaryoten (UF1,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die Bedeutung der Transkriptionsfaktoren für die Regulation von Zellstoffwechsel und Entwicklung (UF1,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Eigenschaften des genetischen Codes und charakterisieren mit dessen Hilfe Mutationstypen (UF1,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erklären die Auswirkungen verschiedener Gen-, Chromosom- und Genommutationen auf den Phänotyp (u.a. unter Berücksichtigung von Genwirkketten) (</w:t>
            </w:r>
            <w:r w:rsidRPr="00396942">
              <w:rPr>
                <w:b/>
                <w:iCs/>
                <w:sz w:val="40"/>
                <w:szCs w:val="40"/>
              </w:rPr>
              <w:t>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beschreiben molekulargenetische Werkzeuge und erläutern deren Bedeutung für gentechnische Grundoperationen (UF1)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6E64BE" w:rsidRDefault="006E64B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6E64BE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erklären</w:t>
            </w:r>
            <w:r w:rsidRPr="00396942">
              <w:rPr>
                <w:b/>
                <w:sz w:val="40"/>
                <w:szCs w:val="40"/>
              </w:rPr>
              <w:t xml:space="preserve"> mithilfe eines Modells die Wechsel</w:t>
            </w:r>
            <w:r w:rsidRPr="00396942">
              <w:rPr>
                <w:b/>
                <w:iCs/>
                <w:sz w:val="40"/>
                <w:szCs w:val="40"/>
              </w:rPr>
              <w:t>wirkung von Proto-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Onkogenen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und Tumor-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Suppressorgenen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auf die Regulation des Zellzyklus und beurteilen die Folgen von Mutationen in diesen Genen</w:t>
            </w:r>
            <w:r w:rsidRPr="00396942">
              <w:rPr>
                <w:b/>
                <w:sz w:val="40"/>
                <w:szCs w:val="40"/>
              </w:rPr>
              <w:t xml:space="preserve"> (E6, UF1, UF3,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reflektieren und erläutern den Wandel des Genbegriffes (E7)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benennen Fragestellungen und stellen Hypothesen zur Entschlüsselung des genetischen Codes auf und erläutern klassische Experimente zur Entwicklung der Code-Sonne (E1, E3, E4)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wissenschaftliche Experimente zur Aufklärung der Proteinbiosynthese, generieren Hypothesen auf der Grundlage der Versuchspläne und interpretieren die Versuchsergebnisse (E3, E4,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III.11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erläutern </w:t>
            </w:r>
            <w:r w:rsidR="006B2C26" w:rsidRPr="00396942">
              <w:rPr>
                <w:b/>
                <w:iCs/>
                <w:sz w:val="40"/>
                <w:szCs w:val="40"/>
              </w:rPr>
              <w:t>und entwickeln Modellvorstellungen auf der Grundlage von Experimenten zur Aufklärung der Genregulation bei Prokaryoten (E2, E5, 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begründen die Verwendung bestimmter Modellorganismen (u.a. </w:t>
            </w:r>
            <w:r w:rsidRPr="00396942">
              <w:rPr>
                <w:b/>
                <w:i/>
                <w:iCs/>
                <w:sz w:val="40"/>
                <w:szCs w:val="40"/>
              </w:rPr>
              <w:t>E. coli</w:t>
            </w:r>
            <w:r w:rsidRPr="00396942">
              <w:rPr>
                <w:b/>
                <w:iCs/>
                <w:sz w:val="40"/>
                <w:szCs w:val="40"/>
              </w:rPr>
              <w:t xml:space="preserve">) für besondere Fragestellungen genetischer Forschung (E6, </w:t>
            </w:r>
            <w:r w:rsidR="006B2C26" w:rsidRPr="00396942">
              <w:rPr>
                <w:b/>
                <w:iCs/>
                <w:sz w:val="40"/>
                <w:szCs w:val="40"/>
              </w:rPr>
              <w:t>E3)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right w:val="nil"/>
            </w:tcBorders>
            <w:shd w:val="clear" w:color="auto" w:fill="auto"/>
          </w:tcPr>
          <w:p w:rsidR="009A634B" w:rsidRDefault="009A634B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</w:tcBorders>
            <w:shd w:val="clear" w:color="auto" w:fill="auto"/>
          </w:tcPr>
          <w:p w:rsidR="009A634B" w:rsidRPr="00396942" w:rsidRDefault="0030648F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erklären mithilfe von Modellen genregulatorische Vorgänge bei Eukaryoten (E6)</w:t>
            </w:r>
          </w:p>
        </w:tc>
      </w:tr>
      <w:tr w:rsidR="006B2C26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B2C26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B2C26" w:rsidRPr="00396942" w:rsidRDefault="00A17FB2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epigenetische Modelle zur Regelung des Zellstoffwechsels und leiten Konsequenzen für den Organismus ab 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A634B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molekulargenetische Verfahren (u.a. PCR, Gelelektrophorese) und ihre Einsatzgebiete (E4, E2,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A634B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III.16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9A634B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formulieren bei der Stammbaumanalyse Hypothesen zum Vererbungsmodus genetisch bedingter Merkmale (X-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chromosomal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, autosomal, Zweifaktorenanalyse; Kopplung,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Crossing-over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) und begründen die Hypothesen mit vorhandenen Daten auf der Grundlage der Meiose (E1, E3, E5, UF4,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recherchieren Informationen zu humangenetischen Fragestellungen (u.a. genetisch bedingten Krankheiten), schätzen die Relevanz und Zuverlässigkeit der Informationen ein und fassen die Ergebnisse strukturiert zusammen (K2, K1, K3,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stellen mithilfe geeigneter Medien die Herstellung transgener Lebewesen dar und diskutieren ihre Verwendung (K1, B3</w:t>
            </w:r>
            <w:r w:rsidR="00A17FB2" w:rsidRPr="00396942">
              <w:rPr>
                <w:b/>
                <w:iCs/>
                <w:sz w:val="40"/>
                <w:szCs w:val="40"/>
              </w:rPr>
              <w:t>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III.19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recherchieren Unterschiede zwischen embryonalen und adulten Stammzellen und präsentieren diese unter Verwendung geeigneter Darstellungsformen (K2,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III.20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stellen naturwissenschaftlich-gesellschaftliche Positionen zum therapeutischen Einsatz von Stammzellen dar und bewerten Interessen sowie Folgen ethisch (B3, </w:t>
            </w:r>
            <w:r w:rsidR="00A17FB2" w:rsidRPr="00396942">
              <w:rPr>
                <w:b/>
                <w:iCs/>
                <w:sz w:val="40"/>
                <w:szCs w:val="40"/>
              </w:rPr>
              <w:t>B4)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III.21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1150C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geben die Bedeutung von DNA-Chips und Hochdurchsatz-Sequenzierung an und bewerten </w:t>
            </w:r>
            <w:r w:rsidR="00F01ABF" w:rsidRPr="00396942">
              <w:rPr>
                <w:b/>
                <w:iCs/>
                <w:sz w:val="40"/>
                <w:szCs w:val="40"/>
              </w:rPr>
              <w:t>Chancen und Risiken (B1, B3)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1150C" w:rsidRDefault="00A17FB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III.22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1150C" w:rsidRPr="00396942" w:rsidRDefault="0031150C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beschreiben aktuelle Entwicklungen in der Biotechnologie bis hin zum Aufbau von synthetischen Organismen in ihren Konsequenzen für unterschiedliche Einsatz</w:t>
            </w:r>
            <w:r w:rsidR="00F01ABF" w:rsidRPr="00396942">
              <w:rPr>
                <w:b/>
                <w:iCs/>
                <w:sz w:val="40"/>
                <w:szCs w:val="40"/>
              </w:rPr>
              <w:t>ziele und bewerten sie (B3, B4)</w:t>
            </w:r>
          </w:p>
        </w:tc>
      </w:tr>
    </w:tbl>
    <w:p w:rsidR="001C275F" w:rsidRPr="009D4BF7" w:rsidRDefault="001C275F" w:rsidP="003E364F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396942" w:rsidRDefault="0029246D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lastRenderedPageBreak/>
        <w:t xml:space="preserve">Inhaltsfeld IV: </w:t>
      </w:r>
      <w:r w:rsidR="00310D12" w:rsidRPr="00396942">
        <w:rPr>
          <w:b/>
          <w:color w:val="FFFFFF" w:themeColor="background1"/>
          <w:sz w:val="40"/>
          <w:szCs w:val="40"/>
        </w:rPr>
        <w:t>Neurobiologie (Leistungskurs)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Default="0029246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</w:t>
            </w:r>
            <w:r w:rsidR="00F7291A" w:rsidRPr="00396942">
              <w:rPr>
                <w:b/>
                <w:sz w:val="40"/>
                <w:szCs w:val="40"/>
              </w:rPr>
              <w:t>V</w:t>
            </w:r>
            <w:r w:rsidRPr="00396942">
              <w:rPr>
                <w:b/>
                <w:sz w:val="40"/>
                <w:szCs w:val="40"/>
              </w:rPr>
              <w:t>.1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9246D" w:rsidRPr="00396942" w:rsidRDefault="002178C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beschreiben Aufbau und Funktion des Neurons (UF1)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vergleichen die Weiterleitung des Aktionspotentials an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myelinisierten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und nicht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myelinisierten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Axonen miteinander und stellen diese unter dem Aspekt der Leitungsgeschwindigkeit in einen funktionellen Zusammenhang (UF2, </w:t>
            </w:r>
            <w:r w:rsidR="0081060A" w:rsidRPr="00396942">
              <w:rPr>
                <w:b/>
                <w:iCs/>
                <w:sz w:val="40"/>
                <w:szCs w:val="40"/>
              </w:rPr>
              <w:t>UF3,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die Verschaltung von Neuronen bei der Erregungsweiterleitung und der Verrechnung von Potentialen mit der Funktion der Synapsen auf molekularer Ebene (UF1,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erklären die Rolle von Sympathikus und Parasympathikus bei der neuronalen und hormonellen Regelung von physiologischen Funktionen an</w:t>
            </w:r>
            <w:r w:rsidR="0081060A" w:rsidRPr="00396942">
              <w:rPr>
                <w:b/>
                <w:sz w:val="40"/>
                <w:szCs w:val="40"/>
              </w:rPr>
              <w:t xml:space="preserve"> Beispielen (UF4, E6, UF2,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</w:t>
            </w:r>
            <w:r w:rsidRPr="00396942" w:rsidDel="00476580">
              <w:rPr>
                <w:b/>
                <w:iCs/>
                <w:sz w:val="40"/>
                <w:szCs w:val="40"/>
              </w:rPr>
              <w:t xml:space="preserve"> </w:t>
            </w:r>
            <w:r w:rsidRPr="00396942">
              <w:rPr>
                <w:b/>
                <w:iCs/>
                <w:sz w:val="40"/>
                <w:szCs w:val="40"/>
              </w:rPr>
              <w:t>den Aufbau und die Funktion der Netzhaut unter den Aspekten der Farb- und Kontrastwahrnehmung (UF3,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IV.6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stellen Möglichkeiten und Grenzen bildgebender Verfahren zur Anatomie und zur Funktion des Gehirns (PET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fMRT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) gegenüber und bringen diese mit der Erforschung von Gehirnabläufen in Verbindung (UF4, UF1, B4)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erklären Ableitungen von Potentialen mittels Messelektroden an Axon und Synapse und werten Messergebnisse unter Zuordnung der molekularen Vorgänge an Biomembranen aus (E5, E2, 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leiten aus Messdaten der Patch-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Clamp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-Technik Veränderungen von Ionenströmen durch Ionenkanäle ab und entwickeln dazu Modellvorstellungen (E5, E6,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erklären den Begriff der Plastizität anhand geeigneter Modelle und leiten  die Bedeutung für ein l</w:t>
            </w:r>
            <w:r w:rsidR="0081060A" w:rsidRPr="00396942">
              <w:rPr>
                <w:b/>
                <w:iCs/>
                <w:sz w:val="40"/>
                <w:szCs w:val="40"/>
              </w:rPr>
              <w:t>ebenslanges Lernen ab (E6,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stellen die Veränderung der Membranspannung an Lichtsinneszellen anhand von Modellen dar und beschreiben die Bedeutung des </w:t>
            </w:r>
            <w:proofErr w:type="spellStart"/>
            <w:r w:rsidRPr="00396942">
              <w:rPr>
                <w:b/>
                <w:i/>
                <w:iCs/>
                <w:sz w:val="40"/>
                <w:szCs w:val="40"/>
              </w:rPr>
              <w:t>second</w:t>
            </w:r>
            <w:proofErr w:type="spellEnd"/>
            <w:r w:rsidRPr="00396942">
              <w:rPr>
                <w:b/>
                <w:i/>
                <w:iCs/>
                <w:sz w:val="40"/>
                <w:szCs w:val="40"/>
              </w:rPr>
              <w:t xml:space="preserve"> </w:t>
            </w:r>
            <w:proofErr w:type="spellStart"/>
            <w:r w:rsidRPr="00396942">
              <w:rPr>
                <w:b/>
                <w:i/>
                <w:iCs/>
                <w:sz w:val="40"/>
                <w:szCs w:val="40"/>
              </w:rPr>
              <w:t>messengers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und der Reaktionskaskade bei der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Fototransduktion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(E6, E1)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IV.11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dokumentieren und präsentieren die Wirkung von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endo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 und exogenen Stoffen auf Vorgänge am Axon, der Synapse und auf Gehirnareale an konkreten Beispielen (K1, K3,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stellen den Vorgang von der durch einen Reiz ausgelösten Erregung von Sinneszellen bis zur Entstehung des Sinneseindrucks bzw. der Wahrnehmung im Gehirn unter Verwendung fachspezifischer Darstellungsfo</w:t>
            </w:r>
            <w:r w:rsidR="006B1925" w:rsidRPr="00396942">
              <w:rPr>
                <w:b/>
                <w:iCs/>
                <w:sz w:val="40"/>
                <w:szCs w:val="40"/>
              </w:rPr>
              <w:t>rmen in Grundzügen dar (K1,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Default="00F7291A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291A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stellen aktuelle Modellvorstellungen zum Gedächtnis auf anatomisch-physiologischer Ebene dar (K3, B1)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Default="00B237B7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37B7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recherchieren und präsentieren aktuelle wissenschaftliche Erkenntnisse zu einer de</w:t>
            </w:r>
            <w:r w:rsidR="006B1925" w:rsidRPr="00396942">
              <w:rPr>
                <w:b/>
                <w:iCs/>
                <w:sz w:val="40"/>
                <w:szCs w:val="40"/>
              </w:rPr>
              <w:t>generativen Erkrankung (K2,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Default="00B237B7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IV.15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237B7" w:rsidRPr="00396942" w:rsidRDefault="00B237B7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b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leiten Wirkungen von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endo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- und exogenen Substanzen (u.a. von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Neuroenhancern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) auf die Gesundheit ab und bewerten mögliche Folgen für Individuum und Gesellschaft (B3, B4, B2, UF2, UF4)</w:t>
            </w:r>
          </w:p>
        </w:tc>
      </w:tr>
    </w:tbl>
    <w:p w:rsidR="001C275F" w:rsidRPr="009D4BF7" w:rsidRDefault="001C275F" w:rsidP="003E364F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6E64BE" w:rsidRPr="00396942" w:rsidRDefault="00267DE3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lastRenderedPageBreak/>
        <w:t xml:space="preserve">Inhaltsfeld V: </w:t>
      </w:r>
      <w:r w:rsidR="00B37236" w:rsidRPr="00396942">
        <w:rPr>
          <w:b/>
          <w:color w:val="FFFFFF" w:themeColor="background1"/>
          <w:sz w:val="40"/>
          <w:szCs w:val="40"/>
        </w:rPr>
        <w:t>Ökologie</w:t>
      </w:r>
      <w:r w:rsidR="00DA1BA3" w:rsidRPr="00396942">
        <w:rPr>
          <w:b/>
          <w:color w:val="FFFFFF" w:themeColor="background1"/>
          <w:sz w:val="40"/>
          <w:szCs w:val="40"/>
        </w:rPr>
        <w:t xml:space="preserve"> (</w:t>
      </w:r>
      <w:r w:rsidR="00310D12" w:rsidRPr="00396942">
        <w:rPr>
          <w:b/>
          <w:color w:val="FFFFFF" w:themeColor="background1"/>
          <w:sz w:val="40"/>
          <w:szCs w:val="40"/>
        </w:rPr>
        <w:t>Lei</w:t>
      </w:r>
      <w:r w:rsidR="0030648F" w:rsidRPr="00396942">
        <w:rPr>
          <w:b/>
          <w:color w:val="FFFFFF" w:themeColor="background1"/>
          <w:sz w:val="40"/>
          <w:szCs w:val="40"/>
        </w:rPr>
        <w:t>s</w:t>
      </w:r>
      <w:r w:rsidR="00310D12" w:rsidRPr="00396942">
        <w:rPr>
          <w:b/>
          <w:color w:val="FFFFFF" w:themeColor="background1"/>
          <w:sz w:val="40"/>
          <w:szCs w:val="40"/>
        </w:rPr>
        <w:t>tungskurs)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Default="00267DE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41BCC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zeigen den Zusammenhang zwischen dem Vorkommen von Bioindikatoren und der Intensität abiotischer Faktoren in einem beliebigen Ökosystem (UF3, UF4, E4)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E436E9" w:rsidRDefault="00E436E9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E436E9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den Zusammenhang zwischen Fotoreaktion und Synthesereaktion und ordnen die Reaktionen den unterschiedlichen Kompartimenten des Chloroplasten zu (UF1,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DE156F" w:rsidRDefault="00DE156F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DE156F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beschreiben die Dynamik von Populationen in Abhängigkeit von dichteabhängigen und dichteunabhängigen Faktoren (UF1)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DE156F" w:rsidRDefault="00DE156F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DE156F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analysieren Messdaten zur Abhängigkeit der Fotosyntheseaktivität von unterschiedlichen abiotischen Faktoren (E5)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Default="001B07D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B07D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leiten aus Forschungsexperimenten zur Aufklärung der Fotosynthese zu Grunde liegende Fragestellungen und H</w:t>
            </w:r>
            <w:r w:rsidR="00CC1938" w:rsidRPr="00396942">
              <w:rPr>
                <w:b/>
                <w:iCs/>
                <w:sz w:val="40"/>
                <w:szCs w:val="40"/>
              </w:rPr>
              <w:t>ypothesen ab (E1, E3, UF2,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B07DD" w:rsidRDefault="001B07D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B07D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untersuchen das Vorkommen, die Abundanz und die Dispersion von Lebewesen eines Ökosystems im Freiland (E1, E2, E4)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leiten aus Daten zu abiotischen und biotischen Faktoren Zusammenhänge im Hinblick auf zyklische und sukzessive Veränderungen (Abundanz und Dispersion von Arten) sowie K- und r-Lebenszyklusstrategien ab (E5, UF1, UF2, UF3, K4,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planen ausgehend von Hypothesen Experimente zur Überprüfung der ökologischen Potenz nach dem Prinzip der Variablenkontrolle, nehmen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kriterienorientiert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Beobachtungen und Messungen vor und deuten die Ergebnisse (E2, E3, E4, E5,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entwickeln aus zeitlich-rhythmischen Änderungen des Lebensraums biologische Fragestellungen und erklären diese auf der Grundlage von Daten (E1,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untersuchen Veränderungen von Populationen mit Hilfe von Simulationen auf der Grundlage des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Lotka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Volterra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-Modells 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V.11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vergleichen das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Lotka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Volterra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-Modell mit veröffentlichten Daten aus Freilandmessungen und diskutier</w:t>
            </w:r>
            <w:r w:rsidR="00CC1938" w:rsidRPr="00396942">
              <w:rPr>
                <w:b/>
                <w:iCs/>
                <w:sz w:val="40"/>
                <w:szCs w:val="40"/>
              </w:rPr>
              <w:t>en die Grenzen des Modells 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652665" w:rsidRDefault="0065266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652665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leiten aus Untersuchungsdaten zu intra- und interspezifischen Beziehungen (u.a. Parasitismus, Symbiose, Konkurrenz) mögliche Folgen für die jeweiligen Arten ab und präsentieren diese unter Verwendung angemessener Medien (E5, K3,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382803" w:rsidRDefault="0038280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382803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erklären mit Hilfe des Modells der ökologischen Nische die Koexistenz von Arten (E6, 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382803" w:rsidRDefault="0038280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382803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die Aussagekraft von biologischen Regeln (u.a. tiergeographische Regeln) und grenzen diese von naturwissenschaftlichen Gesetzen ab (E7,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Default="00382803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2803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mithilfe einfacher Schemata das Grundprinzip der Energieumwandlung in den Fotosystemen und den Mechanismus der ATP-Synthese (K3,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V.16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stellen energetische und stoffliche Beziehungen verschiedener Organismen unter den Aspekten von Nahrungskette, Nahrungsnetz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Trophieebene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formal, sprachlich und fachlich korrekt dar (K1,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V.17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präsentieren und erklären auf der Grundlage von Untersuchungsdaten die Wirkung von anthropogenen Faktoren auf ausgewählte globale Stoffkreisläufe (K1, K3,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V.18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recherchieren Beispiele für die biologische Invasion von Arten und leiten Folgen für das Ökosystem ab (K2,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V.19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F4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diskutieren Konflikte zwischen der Nutzung natürlicher Ressourcen und dem Naturschutz (B2, B3)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Default="00A67F4D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V.20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67F4D" w:rsidRPr="00396942" w:rsidRDefault="00A67F4D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entwickeln Handlungsoptionen für das eigene Konsumverhalten und schätzen diese unter dem Aspekt der Nachhaltigkeit ein (B2, B3)</w:t>
            </w:r>
          </w:p>
        </w:tc>
      </w:tr>
    </w:tbl>
    <w:p w:rsidR="001C275F" w:rsidRPr="009D4BF7" w:rsidRDefault="001C275F" w:rsidP="003E364F">
      <w:pPr>
        <w:jc w:val="left"/>
        <w:rPr>
          <w:b/>
          <w:sz w:val="20"/>
        </w:rPr>
      </w:pPr>
      <w:r w:rsidRPr="009D4BF7">
        <w:rPr>
          <w:b/>
          <w:sz w:val="20"/>
        </w:rPr>
        <w:br w:type="page"/>
      </w:r>
    </w:p>
    <w:p w:rsidR="00E436E9" w:rsidRPr="00396942" w:rsidRDefault="00B37236" w:rsidP="003E364F">
      <w:pPr>
        <w:shd w:val="clear" w:color="auto" w:fill="7F7F7F" w:themeFill="text1" w:themeFillTint="80"/>
        <w:jc w:val="left"/>
        <w:rPr>
          <w:b/>
          <w:color w:val="FFFFFF" w:themeColor="background1"/>
          <w:sz w:val="40"/>
          <w:szCs w:val="40"/>
        </w:rPr>
      </w:pPr>
      <w:r w:rsidRPr="00396942">
        <w:rPr>
          <w:b/>
          <w:color w:val="FFFFFF" w:themeColor="background1"/>
          <w:sz w:val="40"/>
          <w:szCs w:val="40"/>
        </w:rPr>
        <w:lastRenderedPageBreak/>
        <w:t>Inhaltsfeld VI:</w:t>
      </w:r>
      <w:r w:rsidR="0013415C" w:rsidRPr="00396942">
        <w:rPr>
          <w:b/>
          <w:color w:val="FFFFFF" w:themeColor="background1"/>
          <w:sz w:val="40"/>
          <w:szCs w:val="40"/>
        </w:rPr>
        <w:t xml:space="preserve"> Evolution</w:t>
      </w:r>
      <w:r w:rsidR="00310D12" w:rsidRPr="00396942">
        <w:rPr>
          <w:b/>
          <w:color w:val="FFFFFF" w:themeColor="background1"/>
          <w:sz w:val="40"/>
          <w:szCs w:val="40"/>
        </w:rPr>
        <w:t xml:space="preserve"> (Leistungskurs</w:t>
      </w:r>
      <w:r w:rsidR="00136FE7" w:rsidRPr="00396942">
        <w:rPr>
          <w:b/>
          <w:color w:val="FFFFFF" w:themeColor="background1"/>
          <w:sz w:val="40"/>
          <w:szCs w:val="40"/>
        </w:rPr>
        <w:t>)</w:t>
      </w:r>
    </w:p>
    <w:tbl>
      <w:tblPr>
        <w:tblW w:w="5000" w:type="pct"/>
        <w:tblBorders>
          <w:insideH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9530"/>
      </w:tblGrid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Default="00A23577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</w:t>
            </w:r>
            <w:r w:rsidR="00827676" w:rsidRPr="00396942">
              <w:rPr>
                <w:b/>
                <w:sz w:val="40"/>
                <w:szCs w:val="40"/>
              </w:rPr>
              <w:t>I</w:t>
            </w:r>
            <w:r w:rsidRPr="00396942">
              <w:rPr>
                <w:b/>
                <w:sz w:val="40"/>
                <w:szCs w:val="40"/>
              </w:rPr>
              <w:t>.1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21A2F" w:rsidRPr="00396942" w:rsidRDefault="0044310A" w:rsidP="003E364F">
            <w:pPr>
              <w:numPr>
                <w:ilvl w:val="0"/>
                <w:numId w:val="4"/>
              </w:numPr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beschreiben die Einordnung von Lebewesen mithilfe der Systematik und der binären Nomenklatur (UF1,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stellen die synthetische Evolutionstheorie zusammenfassend dar (</w:t>
            </w:r>
            <w:r w:rsidR="00940752" w:rsidRPr="00396942">
              <w:rPr>
                <w:b/>
                <w:iCs/>
                <w:sz w:val="40"/>
                <w:szCs w:val="40"/>
              </w:rPr>
              <w:t>UF2,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VI.3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erläutern den Einfluss der Evolutionsfaktoren (Mutation, Rekombination, Selektion,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Gendrift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>) auf den Genpool einer Population (UF4,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VI.4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stellen den Vorgang der adaptiven Radiation unter dem Aspekt der Angepasstheit dar (UF2,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VI.5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erläutern das Konzept der Fitness und seine Bedeutung für den Prozess der Evolution unter dem Aspekt der Weitergabe von Allelen (UF1, UF4)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VI.6</w:t>
            </w: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566035" w:rsidRPr="00396942" w:rsidRDefault="00566035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beschreiben und erläutern molekulare Verfahren zur Analyse von phylogenetischen Verwandtschaften zwischen Lebewesen (UF1,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VI.7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ordnen den modernen Menschen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kriteriengeleitet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den Primaten zu (UF3)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VI.8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beschreiben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Biodiversität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auf verschiedenen Systemebenen (genetische Variabilität, Artenvielfalt, Vielfalt der Ökosysteme</w:t>
            </w:r>
            <w:r w:rsidR="00940752" w:rsidRPr="00396942">
              <w:rPr>
                <w:b/>
                <w:iCs/>
                <w:sz w:val="40"/>
                <w:szCs w:val="40"/>
              </w:rPr>
              <w:t>) (UF4, UF1, UF2,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VI.9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 xml:space="preserve">analysieren anhand von Daten die evolutionäre Entwicklung von Sozialstrukturen (Paarungssysteme, </w:t>
            </w:r>
            <w:proofErr w:type="spellStart"/>
            <w:r w:rsidRPr="00396942">
              <w:rPr>
                <w:b/>
                <w:sz w:val="40"/>
                <w:szCs w:val="40"/>
              </w:rPr>
              <w:t>Habitatwahl</w:t>
            </w:r>
            <w:proofErr w:type="spellEnd"/>
            <w:r w:rsidRPr="00396942">
              <w:rPr>
                <w:b/>
                <w:sz w:val="40"/>
                <w:szCs w:val="40"/>
              </w:rPr>
              <w:t>) unter dem Aspekt der Fitnessmaximierung (E5, UF2, UF4,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VI.10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stellen Erklärungsmodelle für die Evolution in ihrer historischen Entwicklung und die damit verbundenen Veränderungen des Weltbildes dar (E7)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VI.11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belegen an Beispielen den aktuellen evolutionären Wandel von Organismen (u.a. mithilfe von Auszügen aus Gendatenbanken) (E2,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VI.12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analysieren molekulargenetische Daten und deuten sie mit Daten aus klassischen Datierungsmethoden im Hinblick auf die Verbreitung von Allelen und Verwandtschaftsbeziehungen von Lebewesen (E5, 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VI.13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deuten Daten zu anatomisch-morphologischen und molekularen Merkmalen von Organismen zum Beleg konvergenter und divergenter Entwicklungen (E5, UF3)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VI.14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bottom w:val="single" w:sz="4" w:space="0" w:color="000000"/>
            </w:tcBorders>
            <w:shd w:val="clear" w:color="auto" w:fill="auto"/>
          </w:tcPr>
          <w:p w:rsidR="00183342" w:rsidRPr="00396942" w:rsidRDefault="0044310A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bestimmen und modellieren mithilfe des Hardy-Weinberg-Gesetzes die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Allelfrequenzen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in Populationen und geben Bedingungen für die Gültigkeit des Gesetzes an (E6)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VI.15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3342" w:rsidRPr="00396942" w:rsidRDefault="00844D64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erklären Modellvorstellungen zu Artbildungsprozessen (u.a.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allopatrische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und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sympatrische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Artbildung) an Beispielen (E6, UF1)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VI.16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3342" w:rsidRPr="00396942" w:rsidRDefault="00844D64" w:rsidP="003E364F">
            <w:pPr>
              <w:numPr>
                <w:ilvl w:val="0"/>
                <w:numId w:val="4"/>
              </w:numPr>
              <w:tabs>
                <w:tab w:val="left" w:pos="360"/>
              </w:tabs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entwickeln und erläutern Hypothesen zu phylogenetischen Stammbäumen auf der Basis von Daten zu anatomisch-morphologischen und molekularen Homologien (E3, E5, K1,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Default="0018334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VI.17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342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erstellen und analysieren Stammbäume anhand von Daten zur Ermittlung von Verwandtschaft</w:t>
            </w:r>
            <w:r w:rsidR="00940752" w:rsidRPr="00396942">
              <w:rPr>
                <w:b/>
                <w:iCs/>
                <w:sz w:val="40"/>
                <w:szCs w:val="40"/>
              </w:rPr>
              <w:t>sbeziehungen von Arten (E3, E5)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VI.18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stellen Belege für die Evolution aus verschiedenen Bereichen der Biologie (u.a. Molekularbiologie) adressatengerecht dar (K1, K3)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VI.19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erklären mithilfe molekulargenetischer Modellvorstellungen zur Evolution der Genome die genetische Vielfalt der Lebewesen (K4, E6)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VI.20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diskutieren wissenschaftliche Befunde (u.a. Schlüsselmerkmale) und Hypothesen zur Humanevolution unter dem Aspekt ihrer Vorläufigkeit kritisch-konstruktiv (K4, E7)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lastRenderedPageBreak/>
              <w:t>VI.21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 xml:space="preserve">wählen angemessene Medien zur Darstellung von Beispielen zur </w:t>
            </w:r>
            <w:proofErr w:type="spellStart"/>
            <w:r w:rsidRPr="00396942">
              <w:rPr>
                <w:b/>
                <w:iCs/>
                <w:sz w:val="40"/>
                <w:szCs w:val="40"/>
              </w:rPr>
              <w:t>Coevolution</w:t>
            </w:r>
            <w:proofErr w:type="spellEnd"/>
            <w:r w:rsidRPr="00396942">
              <w:rPr>
                <w:b/>
                <w:iCs/>
                <w:sz w:val="40"/>
                <w:szCs w:val="40"/>
              </w:rPr>
              <w:t xml:space="preserve"> aus und präsentieren die Beispiele (K3, UF2)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VI.22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iCs/>
                <w:sz w:val="40"/>
                <w:szCs w:val="40"/>
              </w:rPr>
            </w:pPr>
            <w:r w:rsidRPr="00396942">
              <w:rPr>
                <w:b/>
                <w:iCs/>
                <w:sz w:val="40"/>
                <w:szCs w:val="40"/>
              </w:rPr>
              <w:t>grenzen die Synthetische Theorie der Evolution gegenüber nicht naturwissenschaftlichen Positionen zur Entstehung von Artenvielfalt ab und nehmen zu diesen begründet Stellung (B2, K4)</w:t>
            </w:r>
          </w:p>
        </w:tc>
      </w:tr>
      <w:tr w:rsidR="009D4BF7" w:rsidRPr="009D4BF7" w:rsidTr="00396942">
        <w:trPr>
          <w:trHeight w:val="2835"/>
        </w:trPr>
        <w:tc>
          <w:tcPr>
            <w:tcW w:w="49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Default="00940752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VI.23</w:t>
            </w: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</w:p>
          <w:p w:rsidR="00FC435E" w:rsidRPr="00396942" w:rsidRDefault="00FC435E" w:rsidP="003E364F">
            <w:pPr>
              <w:widowControl w:val="0"/>
              <w:snapToGrid w:val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LK</w:t>
            </w:r>
          </w:p>
        </w:tc>
        <w:tc>
          <w:tcPr>
            <w:tcW w:w="45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844D64" w:rsidRPr="00396942" w:rsidRDefault="00844D64" w:rsidP="003E364F">
            <w:pPr>
              <w:numPr>
                <w:ilvl w:val="0"/>
                <w:numId w:val="13"/>
              </w:numPr>
              <w:tabs>
                <w:tab w:val="left" w:pos="360"/>
              </w:tabs>
              <w:ind w:left="360"/>
              <w:jc w:val="left"/>
              <w:rPr>
                <w:b/>
                <w:sz w:val="40"/>
                <w:szCs w:val="40"/>
              </w:rPr>
            </w:pPr>
            <w:r w:rsidRPr="00396942">
              <w:rPr>
                <w:b/>
                <w:sz w:val="40"/>
                <w:szCs w:val="40"/>
              </w:rPr>
              <w:t>bewerten</w:t>
            </w:r>
            <w:r w:rsidRPr="00396942">
              <w:rPr>
                <w:b/>
                <w:iCs/>
                <w:sz w:val="40"/>
                <w:szCs w:val="40"/>
              </w:rPr>
              <w:t xml:space="preserve"> die Problematik des Rasse-Begriffs beim Menschen aus historischer und gesellschaftlicher Sicht und nehmen zum Missbrauch dieses Begriffs aus fachlicher Perspektive Stellung (B1, B3, K4)</w:t>
            </w:r>
          </w:p>
        </w:tc>
      </w:tr>
    </w:tbl>
    <w:p w:rsidR="00941BCC" w:rsidRPr="009D4BF7" w:rsidRDefault="00941BCC" w:rsidP="003E364F">
      <w:pPr>
        <w:jc w:val="left"/>
        <w:rPr>
          <w:b/>
          <w:sz w:val="20"/>
        </w:rPr>
      </w:pPr>
    </w:p>
    <w:sectPr w:rsidR="00941BCC" w:rsidRPr="009D4BF7" w:rsidSect="00A23C7E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3D" w:rsidRDefault="00C3693D" w:rsidP="00B82978">
      <w:r>
        <w:separator/>
      </w:r>
    </w:p>
  </w:endnote>
  <w:endnote w:type="continuationSeparator" w:id="0">
    <w:p w:rsidR="00C3693D" w:rsidRDefault="00C3693D" w:rsidP="00B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8" w:rsidRDefault="00B829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3D" w:rsidRDefault="00C3693D" w:rsidP="00B82978">
      <w:r>
        <w:separator/>
      </w:r>
    </w:p>
  </w:footnote>
  <w:footnote w:type="continuationSeparator" w:id="0">
    <w:p w:rsidR="00C3693D" w:rsidRDefault="00C3693D" w:rsidP="00B8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sz w:val="24"/>
        <w:szCs w:val="24"/>
      </w:rPr>
    </w:lvl>
  </w:abstractNum>
  <w:abstractNum w:abstractNumId="15">
    <w:nsid w:val="4F97268A"/>
    <w:multiLevelType w:val="hybridMultilevel"/>
    <w:tmpl w:val="73E6C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D"/>
    <w:rsid w:val="00012DDD"/>
    <w:rsid w:val="00026662"/>
    <w:rsid w:val="00030F3F"/>
    <w:rsid w:val="00056AD8"/>
    <w:rsid w:val="000752F4"/>
    <w:rsid w:val="00087EA8"/>
    <w:rsid w:val="00096D92"/>
    <w:rsid w:val="000A621E"/>
    <w:rsid w:val="000B1BA1"/>
    <w:rsid w:val="0012026E"/>
    <w:rsid w:val="00132EC8"/>
    <w:rsid w:val="0013415C"/>
    <w:rsid w:val="00136FE7"/>
    <w:rsid w:val="001412C3"/>
    <w:rsid w:val="00155D52"/>
    <w:rsid w:val="00183342"/>
    <w:rsid w:val="001B07DD"/>
    <w:rsid w:val="001C275F"/>
    <w:rsid w:val="001D7470"/>
    <w:rsid w:val="002178CA"/>
    <w:rsid w:val="00226500"/>
    <w:rsid w:val="002422F8"/>
    <w:rsid w:val="00251902"/>
    <w:rsid w:val="00267DE3"/>
    <w:rsid w:val="0028471C"/>
    <w:rsid w:val="002921D6"/>
    <w:rsid w:val="0029246D"/>
    <w:rsid w:val="00295367"/>
    <w:rsid w:val="002A2FB1"/>
    <w:rsid w:val="002A3A71"/>
    <w:rsid w:val="002B7B52"/>
    <w:rsid w:val="002D6FEC"/>
    <w:rsid w:val="002E3F29"/>
    <w:rsid w:val="002E7A16"/>
    <w:rsid w:val="00304539"/>
    <w:rsid w:val="0030648F"/>
    <w:rsid w:val="00310D12"/>
    <w:rsid w:val="0031150C"/>
    <w:rsid w:val="0031238B"/>
    <w:rsid w:val="00313AD4"/>
    <w:rsid w:val="0031436F"/>
    <w:rsid w:val="00317A51"/>
    <w:rsid w:val="00321A2F"/>
    <w:rsid w:val="00327448"/>
    <w:rsid w:val="00370A1A"/>
    <w:rsid w:val="00382803"/>
    <w:rsid w:val="003925A0"/>
    <w:rsid w:val="00396942"/>
    <w:rsid w:val="003A1D36"/>
    <w:rsid w:val="003B3019"/>
    <w:rsid w:val="003C6A8D"/>
    <w:rsid w:val="003E364F"/>
    <w:rsid w:val="0041382E"/>
    <w:rsid w:val="00441DFF"/>
    <w:rsid w:val="0044310A"/>
    <w:rsid w:val="00454382"/>
    <w:rsid w:val="00476CC1"/>
    <w:rsid w:val="00493C63"/>
    <w:rsid w:val="004A27DD"/>
    <w:rsid w:val="004F5F4E"/>
    <w:rsid w:val="00503C86"/>
    <w:rsid w:val="00507645"/>
    <w:rsid w:val="005303B5"/>
    <w:rsid w:val="005370AD"/>
    <w:rsid w:val="00563984"/>
    <w:rsid w:val="00566035"/>
    <w:rsid w:val="00574193"/>
    <w:rsid w:val="005A14CA"/>
    <w:rsid w:val="005A3E28"/>
    <w:rsid w:val="005B3783"/>
    <w:rsid w:val="005E75E4"/>
    <w:rsid w:val="005F15C8"/>
    <w:rsid w:val="00602968"/>
    <w:rsid w:val="006322FB"/>
    <w:rsid w:val="00637B37"/>
    <w:rsid w:val="00652665"/>
    <w:rsid w:val="00656C09"/>
    <w:rsid w:val="006848A0"/>
    <w:rsid w:val="006A4CF7"/>
    <w:rsid w:val="006B1925"/>
    <w:rsid w:val="006B2C26"/>
    <w:rsid w:val="006D50F5"/>
    <w:rsid w:val="006D7784"/>
    <w:rsid w:val="006E6115"/>
    <w:rsid w:val="006E64BE"/>
    <w:rsid w:val="007442CF"/>
    <w:rsid w:val="00773A32"/>
    <w:rsid w:val="0079314B"/>
    <w:rsid w:val="00794999"/>
    <w:rsid w:val="007A60DC"/>
    <w:rsid w:val="0081060A"/>
    <w:rsid w:val="00813B8A"/>
    <w:rsid w:val="008164CA"/>
    <w:rsid w:val="00827676"/>
    <w:rsid w:val="008375BF"/>
    <w:rsid w:val="008430F7"/>
    <w:rsid w:val="00844D64"/>
    <w:rsid w:val="0089496D"/>
    <w:rsid w:val="008D7BAC"/>
    <w:rsid w:val="00926C51"/>
    <w:rsid w:val="00926D3F"/>
    <w:rsid w:val="00940752"/>
    <w:rsid w:val="00941BCC"/>
    <w:rsid w:val="009511A9"/>
    <w:rsid w:val="009549DB"/>
    <w:rsid w:val="009746E6"/>
    <w:rsid w:val="00981DE2"/>
    <w:rsid w:val="009A0698"/>
    <w:rsid w:val="009A634B"/>
    <w:rsid w:val="009D4BF7"/>
    <w:rsid w:val="00A17FB2"/>
    <w:rsid w:val="00A23577"/>
    <w:rsid w:val="00A23C7E"/>
    <w:rsid w:val="00A31FA8"/>
    <w:rsid w:val="00A67F4D"/>
    <w:rsid w:val="00A74A7A"/>
    <w:rsid w:val="00A845FD"/>
    <w:rsid w:val="00AD19C7"/>
    <w:rsid w:val="00AE1005"/>
    <w:rsid w:val="00AF701A"/>
    <w:rsid w:val="00B06576"/>
    <w:rsid w:val="00B101F5"/>
    <w:rsid w:val="00B237B7"/>
    <w:rsid w:val="00B32D39"/>
    <w:rsid w:val="00B37236"/>
    <w:rsid w:val="00B4752B"/>
    <w:rsid w:val="00B5142D"/>
    <w:rsid w:val="00B56AC8"/>
    <w:rsid w:val="00B82978"/>
    <w:rsid w:val="00B94BBF"/>
    <w:rsid w:val="00BD1052"/>
    <w:rsid w:val="00C0188A"/>
    <w:rsid w:val="00C03BAA"/>
    <w:rsid w:val="00C05E28"/>
    <w:rsid w:val="00C07116"/>
    <w:rsid w:val="00C102A7"/>
    <w:rsid w:val="00C34E44"/>
    <w:rsid w:val="00C3693D"/>
    <w:rsid w:val="00C526A8"/>
    <w:rsid w:val="00C812E0"/>
    <w:rsid w:val="00CA17B7"/>
    <w:rsid w:val="00CC1938"/>
    <w:rsid w:val="00CE3A97"/>
    <w:rsid w:val="00D745E7"/>
    <w:rsid w:val="00DA0F71"/>
    <w:rsid w:val="00DA1BA3"/>
    <w:rsid w:val="00DC0A4A"/>
    <w:rsid w:val="00DE156F"/>
    <w:rsid w:val="00E01212"/>
    <w:rsid w:val="00E0501D"/>
    <w:rsid w:val="00E10F8A"/>
    <w:rsid w:val="00E1580B"/>
    <w:rsid w:val="00E237A2"/>
    <w:rsid w:val="00E436E9"/>
    <w:rsid w:val="00E47D5C"/>
    <w:rsid w:val="00E52C36"/>
    <w:rsid w:val="00EB6A68"/>
    <w:rsid w:val="00ED02F3"/>
    <w:rsid w:val="00ED3B15"/>
    <w:rsid w:val="00F01ABF"/>
    <w:rsid w:val="00F16B7B"/>
    <w:rsid w:val="00F227B7"/>
    <w:rsid w:val="00F65B3D"/>
    <w:rsid w:val="00F71740"/>
    <w:rsid w:val="00F7291A"/>
    <w:rsid w:val="00F745D0"/>
    <w:rsid w:val="00F847B7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6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82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978"/>
    <w:rPr>
      <w:rFonts w:ascii="Arial" w:eastAsia="Times New Roman" w:hAnsi="Arial" w:cs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DF15-5E19-48F1-BD76-729CE6EC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1781</Words>
  <Characters>11221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Kompetenzerwartungen Inhaltsfeld 3 - Genetik</dc:title>
  <dc:subject>Kompetenzerwartungen Genetik im Leistungskurs</dc:subject>
  <dc:creator>QUA-LiS NRW</dc:creator>
  <cp:keywords>Kompetenzerwartungen. Inhaltsfeld 3, Genetik; Kärtchenformat, Übersicht; Sekundarstufe II; Leistungskurs; Biologie; Gymnasium</cp:keywords>
  <cp:lastModifiedBy>Henry</cp:lastModifiedBy>
  <cp:revision>2</cp:revision>
  <cp:lastPrinted>2013-11-17T11:08:00Z</cp:lastPrinted>
  <dcterms:created xsi:type="dcterms:W3CDTF">2013-12-15T16:52:00Z</dcterms:created>
  <dcterms:modified xsi:type="dcterms:W3CDTF">2013-12-15T16:52:00Z</dcterms:modified>
</cp:coreProperties>
</file>