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8" w:rsidRPr="009D4BF7" w:rsidRDefault="00656C09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t>Inhaltsfeld III: Genetik</w:t>
      </w:r>
      <w:r w:rsidR="00310D12" w:rsidRPr="009D4BF7">
        <w:rPr>
          <w:b/>
          <w:sz w:val="20"/>
        </w:rPr>
        <w:t xml:space="preserve"> (Lei</w:t>
      </w:r>
      <w:r w:rsidR="0030648F" w:rsidRPr="009D4BF7">
        <w:rPr>
          <w:b/>
          <w:sz w:val="20"/>
        </w:rPr>
        <w:t>s</w:t>
      </w:r>
      <w:r w:rsidR="00310D12" w:rsidRPr="009D4BF7">
        <w:rPr>
          <w:b/>
          <w:sz w:val="20"/>
        </w:rPr>
        <w:t>tungskurs</w:t>
      </w:r>
      <w:r w:rsidR="007A60DC" w:rsidRPr="009D4BF7">
        <w:rPr>
          <w:b/>
          <w:sz w:val="20"/>
        </w:rPr>
        <w:t>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</w:t>
            </w:r>
            <w:r w:rsidR="006E64BE" w:rsidRPr="009D4BF7">
              <w:rPr>
                <w:b/>
                <w:sz w:val="20"/>
              </w:rPr>
              <w:t>.</w:t>
            </w:r>
            <w:r w:rsidR="00E0501D" w:rsidRPr="009D4BF7">
              <w:rPr>
                <w:b/>
                <w:sz w:val="20"/>
              </w:rPr>
              <w:t>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erläutern die Grundprinzipien der inter- und </w:t>
            </w:r>
            <w:proofErr w:type="spellStart"/>
            <w:r w:rsidRPr="009D4BF7">
              <w:rPr>
                <w:b/>
                <w:iCs/>
                <w:sz w:val="20"/>
              </w:rPr>
              <w:t>intrachromosomalen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Rekombination (Reduktion und Neukombination der Chromosomen) b</w:t>
            </w:r>
            <w:r w:rsidR="006B2C26" w:rsidRPr="009D4BF7">
              <w:rPr>
                <w:b/>
                <w:iCs/>
                <w:sz w:val="20"/>
              </w:rPr>
              <w:t>ei Meiose und Befruchtung (UF4)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vergleichen die molekularbiologischen Abläufe in der Proteinbiosynthese bei Pro- und Eukaryoten 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die Bedeutung der Transkriptionsfaktoren für die Regulation von Zellstoffwechsel und Entwicklung 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Eigenschaften des genetischen Codes und charakterisieren mit dessen Hilfe Mutationstypen (UF1,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erklären die Auswirkungen verschiedener Gen-, Chromosom- und Genommutationen auf den Phänotyp (u.a. unter Berücksichtigung von Genwirkketten) (</w:t>
            </w:r>
            <w:r w:rsidRPr="009D4BF7">
              <w:rPr>
                <w:b/>
                <w:iCs/>
                <w:sz w:val="20"/>
              </w:rPr>
              <w:t>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molekulargenetische Werkzeuge und erläutern deren Bedeutung für gentechnische Grundoperationen 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</w:t>
            </w:r>
            <w:r w:rsidRPr="009D4BF7">
              <w:rPr>
                <w:b/>
                <w:sz w:val="20"/>
              </w:rPr>
              <w:t xml:space="preserve"> mithilfe eines Modells die Wechsel</w:t>
            </w:r>
            <w:r w:rsidRPr="009D4BF7">
              <w:rPr>
                <w:b/>
                <w:iCs/>
                <w:sz w:val="20"/>
              </w:rPr>
              <w:t>wirkung von Proto-</w:t>
            </w:r>
            <w:proofErr w:type="spellStart"/>
            <w:r w:rsidRPr="009D4BF7">
              <w:rPr>
                <w:b/>
                <w:iCs/>
                <w:sz w:val="20"/>
              </w:rPr>
              <w:t>Onkogenen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Tumor-</w:t>
            </w:r>
            <w:proofErr w:type="spellStart"/>
            <w:r w:rsidRPr="009D4BF7">
              <w:rPr>
                <w:b/>
                <w:iCs/>
                <w:sz w:val="20"/>
              </w:rPr>
              <w:t>Suppressorgenen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auf die Regulation des Zellzyklus und beurteilen die Folgen von Mutationen in diesen Genen</w:t>
            </w:r>
            <w:r w:rsidRPr="009D4BF7">
              <w:rPr>
                <w:b/>
                <w:sz w:val="20"/>
              </w:rPr>
              <w:t xml:space="preserve"> (E6, UF1, 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reflektieren und erläutern den Wandel des Genbegriffes (E7)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0648F" w:rsidP="006B2C26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benennen Fragestellungen und stellen Hypothesen zur Entschlüsselung des genetischen Codes auf und erläutern klassische Experimente zur Entwicklung der Code-Sonne (E1, E3,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wissenschaftliche Experimente zur Aufklärung der Proteinbiosynthese, generieren Hypothesen auf der Grundlage der Versuchspläne und interpretieren die Versuchsergebnisse (E3, E4,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9D4BF7" w:rsidRDefault="0030648F" w:rsidP="006B2C26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erläutern </w:t>
            </w:r>
            <w:r w:rsidR="006B2C26" w:rsidRPr="009D4BF7">
              <w:rPr>
                <w:b/>
                <w:iCs/>
                <w:sz w:val="20"/>
              </w:rPr>
              <w:t>und entwickeln Modellvorstellungen auf der Grundlage von Experimenten zur Aufklärung der Genregulation bei Prokaryoten (E2, E5, 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begründen die Verwendung bestimmter Modellorganismen (u.a. </w:t>
            </w:r>
            <w:r w:rsidRPr="009D4BF7">
              <w:rPr>
                <w:b/>
                <w:i/>
                <w:iCs/>
                <w:sz w:val="20"/>
              </w:rPr>
              <w:t>E. coli</w:t>
            </w:r>
            <w:r w:rsidRPr="009D4BF7">
              <w:rPr>
                <w:b/>
                <w:iCs/>
                <w:sz w:val="20"/>
              </w:rPr>
              <w:t xml:space="preserve">) für besondere Fragestellungen genetischer Forschung (E6, </w:t>
            </w:r>
            <w:r w:rsidR="006B2C26" w:rsidRPr="009D4BF7">
              <w:rPr>
                <w:b/>
                <w:iCs/>
                <w:sz w:val="20"/>
              </w:rPr>
              <w:t>E3)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9D4BF7" w:rsidRDefault="0030648F" w:rsidP="0030648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 mithilfe von Modellen genregulatorische Vorgänge bei Eukaryoten (E6)</w:t>
            </w:r>
          </w:p>
        </w:tc>
      </w:tr>
      <w:tr w:rsidR="006B2C26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B2C26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B2C26" w:rsidRPr="009D4BF7" w:rsidRDefault="00A17FB2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epigenetische Modelle zur Regelung des Zellstoffwechsels und leiten Konsequenzen für den Organismus ab 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molekulargenetische Verfahren (u.a. PCR, Gelelektrophorese) und ihre Einsatzgebiete (E4, E2, UF1)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634B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formulieren bei der Stammbaumanalyse Hypothesen zum Vererbungsmodus genetisch bedingter Merkmale (X-</w:t>
            </w:r>
            <w:proofErr w:type="spellStart"/>
            <w:r w:rsidRPr="009D4BF7">
              <w:rPr>
                <w:b/>
                <w:iCs/>
                <w:sz w:val="20"/>
              </w:rPr>
              <w:t>chromosomal</w:t>
            </w:r>
            <w:proofErr w:type="spellEnd"/>
            <w:r w:rsidRPr="009D4BF7">
              <w:rPr>
                <w:b/>
                <w:iCs/>
                <w:sz w:val="20"/>
              </w:rPr>
              <w:t xml:space="preserve">, autosomal, Zweifaktorenanalyse; Kopplung, </w:t>
            </w:r>
            <w:proofErr w:type="spellStart"/>
            <w:r w:rsidRPr="009D4BF7">
              <w:rPr>
                <w:b/>
                <w:iCs/>
                <w:sz w:val="20"/>
              </w:rPr>
              <w:t>Crossing-over</w:t>
            </w:r>
            <w:proofErr w:type="spellEnd"/>
            <w:r w:rsidRPr="009D4BF7">
              <w:rPr>
                <w:b/>
                <w:iCs/>
                <w:sz w:val="20"/>
              </w:rPr>
              <w:t>) und begründen die Hypothesen mit vorhandenen Daten auf der Grundlage der Meiose (E1, E3, E5, UF4, K4)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recherchieren Informationen zu humangenetischen Fragestellungen (u.a. genetisch bedingten Krankheiten), schätzen die Relevanz und Zuverlässigkeit der Informationen ein und fassen die Ergebnisse strukturiert zusammen (K2, K1, K3, K4)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iCs/>
                <w:sz w:val="20"/>
              </w:rPr>
              <w:t>stellen mithilfe geeigneter Medien die Herstellung transgener Lebewesen dar und diskutieren ihre Verwendung (K1, B3</w:t>
            </w:r>
            <w:r w:rsidR="00A17FB2" w:rsidRPr="009D4BF7">
              <w:rPr>
                <w:b/>
                <w:iCs/>
                <w:sz w:val="20"/>
              </w:rPr>
              <w:t>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recherchieren Unterschiede zwischen embryonalen und adulten Stammzellen und präsentieren diese unter Verwendung geeigneter Darstellungsformen (K2, K3)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stellen naturwissenschaftlich-gesellschaftliche Positionen zum therapeutischen Einsatz von Stammzellen dar und bewerten Interessen sowie Folgen ethisch (B3, </w:t>
            </w:r>
            <w:r w:rsidR="00A17FB2" w:rsidRPr="009D4BF7">
              <w:rPr>
                <w:b/>
                <w:iCs/>
                <w:sz w:val="20"/>
              </w:rPr>
              <w:t>B4)</w:t>
            </w:r>
          </w:p>
        </w:tc>
      </w:tr>
      <w:tr w:rsidR="009D4BF7" w:rsidRPr="009D4BF7" w:rsidTr="0031150C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lastRenderedPageBreak/>
              <w:t>III.21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geben die Bedeutung von DNA-Chips und Hochdurchsatz-Sequenzierung an und bewerten </w:t>
            </w:r>
            <w:r w:rsidR="00F01ABF">
              <w:rPr>
                <w:b/>
                <w:iCs/>
                <w:sz w:val="20"/>
              </w:rPr>
              <w:t>Chancen und Risiken (B1, B3)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1150C" w:rsidRDefault="00A17FB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III.22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1150C" w:rsidRPr="009D4BF7" w:rsidRDefault="0031150C" w:rsidP="0031150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aktuelle Entwicklungen in der Biotechnologie bis hin zum Aufbau von synthetischen Organismen in ihren Konsequenzen für unterschiedliche Einsatz</w:t>
            </w:r>
            <w:r w:rsidR="00F01ABF">
              <w:rPr>
                <w:b/>
                <w:iCs/>
                <w:sz w:val="20"/>
              </w:rPr>
              <w:t>ziele und bewerten sie (B3, B4)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9D4BF7" w:rsidRDefault="0029246D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 xml:space="preserve">Inhaltsfeld IV: </w:t>
      </w:r>
      <w:r w:rsidR="00310D12" w:rsidRPr="009D4BF7">
        <w:rPr>
          <w:b/>
          <w:sz w:val="20"/>
        </w:rPr>
        <w:t>Neurobiologie (Leistungskurs)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</w:t>
            </w:r>
            <w:r w:rsidR="00F7291A" w:rsidRPr="009D4BF7">
              <w:rPr>
                <w:b/>
                <w:sz w:val="20"/>
              </w:rPr>
              <w:t>V</w:t>
            </w:r>
            <w:r w:rsidRPr="009D4BF7">
              <w:rPr>
                <w:b/>
                <w:sz w:val="20"/>
              </w:rPr>
              <w:t>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9D4BF7" w:rsidRDefault="002178CA" w:rsidP="002178C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Aufbau und Funktion des Neurons 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vergleichen die Weiterleitung des Aktionspotentials an </w:t>
            </w:r>
            <w:proofErr w:type="spellStart"/>
            <w:r w:rsidRPr="009D4BF7">
              <w:rPr>
                <w:b/>
                <w:iCs/>
                <w:sz w:val="20"/>
              </w:rPr>
              <w:t>myelinisierten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nicht </w:t>
            </w:r>
            <w:proofErr w:type="spellStart"/>
            <w:r w:rsidRPr="009D4BF7">
              <w:rPr>
                <w:b/>
                <w:iCs/>
                <w:sz w:val="20"/>
              </w:rPr>
              <w:t>myelinisierten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Axonen miteinander und stellen diese unter dem Aspekt der Leitungsgeschwindigkeit in einen funktionellen Zusammenhang (UF2, </w:t>
            </w:r>
            <w:r w:rsidR="0081060A" w:rsidRPr="009D4BF7">
              <w:rPr>
                <w:b/>
                <w:iCs/>
                <w:sz w:val="20"/>
              </w:rPr>
              <w:t>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die Verschaltung von Neuronen bei der Erregungsweiterleitung und der Verrechnung von Potentialen mit der Funktion der Synapsen auf molekularer Ebene 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erklären die Rolle von Sympathikus und Parasympathikus bei der neuronalen und hormonellen Regelung von physiologischen Funktionen an</w:t>
            </w:r>
            <w:r w:rsidR="0081060A" w:rsidRPr="009D4BF7">
              <w:rPr>
                <w:b/>
                <w:sz w:val="20"/>
              </w:rPr>
              <w:t xml:space="preserve"> Beispielen (UF4, E6, UF2,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</w:t>
            </w:r>
            <w:r w:rsidRPr="009D4BF7" w:rsidDel="00476580">
              <w:rPr>
                <w:b/>
                <w:iCs/>
                <w:sz w:val="20"/>
              </w:rPr>
              <w:t xml:space="preserve"> </w:t>
            </w:r>
            <w:r w:rsidRPr="009D4BF7">
              <w:rPr>
                <w:b/>
                <w:iCs/>
                <w:sz w:val="20"/>
              </w:rPr>
              <w:t>den Aufbau und die Funktion der Netzhaut unter den Aspekten der Farb- und Kontrastwahrnehmung (UF3,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stellen Möglichkeiten und Grenzen bildgebender Verfahren zur Anatomie und zur Funktion des Gehirns (PET und </w:t>
            </w:r>
            <w:proofErr w:type="spellStart"/>
            <w:r w:rsidRPr="009D4BF7">
              <w:rPr>
                <w:b/>
                <w:iCs/>
                <w:sz w:val="20"/>
              </w:rPr>
              <w:t>fMRT</w:t>
            </w:r>
            <w:proofErr w:type="spellEnd"/>
            <w:r w:rsidRPr="009D4BF7">
              <w:rPr>
                <w:b/>
                <w:iCs/>
                <w:sz w:val="20"/>
              </w:rPr>
              <w:t>) gegenüber und bringen diese mit der Erforschung von Gehirnabläufen in Verbindung (UF4, UF1, B4)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 Ableitungen von Potentialen mittels Messelektroden an Axon und Synapse und werten Messergebnisse unter Zuordnung der molekularen Vorgänge an Biomembranen aus (E5, E2, 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leiten aus Messdaten der Patch-</w:t>
            </w:r>
            <w:proofErr w:type="spellStart"/>
            <w:r w:rsidRPr="009D4BF7">
              <w:rPr>
                <w:b/>
                <w:iCs/>
                <w:sz w:val="20"/>
              </w:rPr>
              <w:t>Clamp</w:t>
            </w:r>
            <w:proofErr w:type="spellEnd"/>
            <w:r w:rsidRPr="009D4BF7">
              <w:rPr>
                <w:b/>
                <w:iCs/>
                <w:sz w:val="20"/>
              </w:rPr>
              <w:t>-Technik Veränderungen von Ionenströmen durch Ionenkanäle ab und entwickeln dazu Modellvorstellungen (E5, E6,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 den Begriff der Plastizität anhand geeigneter Modelle und leiten  die Bedeutung für ein l</w:t>
            </w:r>
            <w:r w:rsidR="0081060A" w:rsidRPr="009D4BF7">
              <w:rPr>
                <w:b/>
                <w:iCs/>
                <w:sz w:val="20"/>
              </w:rPr>
              <w:t>ebenslanges Lernen ab (E6,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stellen die Veränderung der Membranspannung an Lichtsinneszellen anhand von Modellen dar und beschreiben die Bedeutung des </w:t>
            </w:r>
            <w:proofErr w:type="spellStart"/>
            <w:r w:rsidRPr="009D4BF7">
              <w:rPr>
                <w:b/>
                <w:i/>
                <w:iCs/>
                <w:sz w:val="20"/>
              </w:rPr>
              <w:t>second</w:t>
            </w:r>
            <w:proofErr w:type="spellEnd"/>
            <w:r w:rsidRPr="009D4BF7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9D4BF7">
              <w:rPr>
                <w:b/>
                <w:i/>
                <w:iCs/>
                <w:sz w:val="20"/>
              </w:rPr>
              <w:t>messengers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der Reaktionskaskade bei der </w:t>
            </w:r>
            <w:proofErr w:type="spellStart"/>
            <w:r w:rsidRPr="009D4BF7">
              <w:rPr>
                <w:b/>
                <w:iCs/>
                <w:sz w:val="20"/>
              </w:rPr>
              <w:t>Fototransduktion</w:t>
            </w:r>
            <w:proofErr w:type="spellEnd"/>
            <w:r w:rsidRPr="009D4BF7">
              <w:rPr>
                <w:b/>
                <w:iCs/>
                <w:sz w:val="20"/>
              </w:rPr>
              <w:t xml:space="preserve"> (E6, E1)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dokumentieren und präsentieren die Wirkung von </w:t>
            </w:r>
            <w:proofErr w:type="spellStart"/>
            <w:r w:rsidRPr="009D4BF7">
              <w:rPr>
                <w:b/>
                <w:iCs/>
                <w:sz w:val="20"/>
              </w:rPr>
              <w:t>endo</w:t>
            </w:r>
            <w:proofErr w:type="spellEnd"/>
            <w:r w:rsidRPr="009D4BF7">
              <w:rPr>
                <w:b/>
                <w:iCs/>
                <w:sz w:val="20"/>
              </w:rPr>
              <w:t>- und exogenen Stoffen auf Vorgänge am Axon, der Synapse und auf Gehirnareale an konkreten Beispielen (K1, K3,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den Vorgang von der durch einen Reiz ausgelösten Erregung von Sinneszellen bis zur Entstehung des Sinneseindrucks bzw. der Wahrnehmung im Gehirn unter Verwendung fachspezifischer Darstellungsfo</w:t>
            </w:r>
            <w:r w:rsidR="006B1925" w:rsidRPr="009D4BF7">
              <w:rPr>
                <w:b/>
                <w:iCs/>
                <w:sz w:val="20"/>
              </w:rPr>
              <w:t>rmen in Grundzügen dar (K1, K3)</w:t>
            </w:r>
          </w:p>
        </w:tc>
      </w:tr>
      <w:tr w:rsidR="009D4BF7" w:rsidRPr="009D4BF7" w:rsidTr="00B237B7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aktuelle Modellvorstellungen zum Gedächtnis auf anatomisch-physiologischer Ebene dar (K3, B1)</w:t>
            </w:r>
          </w:p>
        </w:tc>
      </w:tr>
      <w:tr w:rsidR="009D4BF7" w:rsidRPr="009D4BF7" w:rsidTr="00B237B7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Default="00B237B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recherchieren und präsentieren aktuelle wissenschaftliche Erkenntnisse zu einer de</w:t>
            </w:r>
            <w:r w:rsidR="006B1925" w:rsidRPr="009D4BF7">
              <w:rPr>
                <w:b/>
                <w:iCs/>
                <w:sz w:val="20"/>
              </w:rPr>
              <w:t>generativen Erkrankung (K2, K3)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Default="00B237B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IV.15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Pr="009D4BF7" w:rsidRDefault="00B237B7" w:rsidP="00B237B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b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leiten Wirkungen von </w:t>
            </w:r>
            <w:proofErr w:type="spellStart"/>
            <w:r w:rsidRPr="009D4BF7">
              <w:rPr>
                <w:b/>
                <w:iCs/>
                <w:sz w:val="20"/>
              </w:rPr>
              <w:t>endo</w:t>
            </w:r>
            <w:proofErr w:type="spellEnd"/>
            <w:r w:rsidRPr="009D4BF7">
              <w:rPr>
                <w:b/>
                <w:iCs/>
                <w:sz w:val="20"/>
              </w:rPr>
              <w:t xml:space="preserve">- und exogenen Substanzen (u.a. von </w:t>
            </w:r>
            <w:proofErr w:type="spellStart"/>
            <w:r w:rsidRPr="009D4BF7">
              <w:rPr>
                <w:b/>
                <w:iCs/>
                <w:sz w:val="20"/>
              </w:rPr>
              <w:t>Neuroenhancern</w:t>
            </w:r>
            <w:proofErr w:type="spellEnd"/>
            <w:r w:rsidRPr="009D4BF7">
              <w:rPr>
                <w:b/>
                <w:iCs/>
                <w:sz w:val="20"/>
              </w:rPr>
              <w:t>) auf die Gesundheit ab und bewerten mögliche Folgen für Individuum und Gesellschaft (B3, B4, B2, UF2, UF4)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9D4BF7" w:rsidRDefault="00267DE3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 xml:space="preserve">Inhaltsfeld V: </w:t>
      </w:r>
      <w:r w:rsidR="00B37236" w:rsidRPr="009D4BF7">
        <w:rPr>
          <w:b/>
          <w:sz w:val="20"/>
        </w:rPr>
        <w:t>Ökologie</w:t>
      </w:r>
      <w:r w:rsidR="00DA1BA3" w:rsidRPr="009D4BF7">
        <w:rPr>
          <w:b/>
          <w:sz w:val="20"/>
        </w:rPr>
        <w:t xml:space="preserve"> (</w:t>
      </w:r>
      <w:r w:rsidR="00310D12" w:rsidRPr="009D4BF7">
        <w:rPr>
          <w:b/>
          <w:sz w:val="20"/>
        </w:rPr>
        <w:t>Lei</w:t>
      </w:r>
      <w:r w:rsidR="0030648F" w:rsidRPr="009D4BF7">
        <w:rPr>
          <w:b/>
          <w:sz w:val="20"/>
        </w:rPr>
        <w:t>s</w:t>
      </w:r>
      <w:r w:rsidR="00310D12" w:rsidRPr="009D4BF7">
        <w:rPr>
          <w:b/>
          <w:sz w:val="20"/>
        </w:rPr>
        <w:t>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zeigen den Zusammenhang zwischen dem Vorkommen von Bioindikatoren und der Intensität abiotischer Faktoren in einem beliebigen Ökosystem (UF3, UF4,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den Zusammenhang zwischen Fotoreaktion und Synthesereaktion und ordnen die Reaktionen den unterschiedlichen Kompartimenten des Chloroplasten zu (UF1,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DE156F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die Dynamik von Populationen in Abhängigkeit von dichteabhängigen und dichteunabhängigen Faktoren (UF1)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analysieren Messdaten zur Abhängigkeit der Fotosyntheseaktivität von unterschiedlichen abiotischen Faktoren (E5)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leiten aus Forschungsexperimenten zur Aufklärung der Fotosynthese zu Grunde liegende Fragestellungen und H</w:t>
            </w:r>
            <w:r w:rsidR="00CC1938" w:rsidRPr="009D4BF7">
              <w:rPr>
                <w:b/>
                <w:iCs/>
                <w:sz w:val="20"/>
              </w:rPr>
              <w:t>ypothesen ab (E1, E3, 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untersuchen das Vorkommen, die Abundanz und die Dispersion von Lebewesen eines Ökosystems im Freiland (E1, E2, E4)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sz w:val="20"/>
              </w:rPr>
              <w:t>leiten aus Daten zu abiotischen und biotischen Faktoren Zusammenhänge im Hinblick auf zyklische und sukzessive Veränderungen (Abundanz und Dispersion von Arten) sowie K- und r-Lebenszyklusstrategien ab (E5, UF1, UF2, UF3, K4,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planen ausgehend von Hypothesen Experimente zur Überprüfung der ökologischen Potenz nach dem Prinzip der Variablenkontrolle, nehmen </w:t>
            </w:r>
            <w:proofErr w:type="spellStart"/>
            <w:r w:rsidRPr="009D4BF7">
              <w:rPr>
                <w:b/>
                <w:iCs/>
                <w:sz w:val="20"/>
              </w:rPr>
              <w:t>kriterienorientiert</w:t>
            </w:r>
            <w:proofErr w:type="spellEnd"/>
            <w:r w:rsidRPr="009D4BF7">
              <w:rPr>
                <w:b/>
                <w:iCs/>
                <w:sz w:val="20"/>
              </w:rPr>
              <w:t xml:space="preserve"> Beobachtungen und Messungen vor und deuten die Ergebnisse (E2, E3, E4, E5,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entwickeln aus zeitlich-rhythmischen Änderungen des Lebensraums biologische Fragestellungen und erklären diese auf der Grundlage von Daten (E1,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untersuchen Veränderungen von Populationen mit Hilfe von Simulationen auf der Grundlage des </w:t>
            </w:r>
            <w:proofErr w:type="spellStart"/>
            <w:r w:rsidRPr="009D4BF7">
              <w:rPr>
                <w:b/>
                <w:iCs/>
                <w:sz w:val="20"/>
              </w:rPr>
              <w:t>Lotka</w:t>
            </w:r>
            <w:proofErr w:type="spellEnd"/>
            <w:r w:rsidRPr="009D4BF7">
              <w:rPr>
                <w:b/>
                <w:iCs/>
                <w:sz w:val="20"/>
              </w:rPr>
              <w:t>-</w:t>
            </w:r>
            <w:proofErr w:type="spellStart"/>
            <w:r w:rsidRPr="009D4BF7">
              <w:rPr>
                <w:b/>
                <w:iCs/>
                <w:sz w:val="20"/>
              </w:rPr>
              <w:t>Volterra</w:t>
            </w:r>
            <w:proofErr w:type="spellEnd"/>
            <w:r w:rsidRPr="009D4BF7">
              <w:rPr>
                <w:b/>
                <w:iCs/>
                <w:sz w:val="20"/>
              </w:rPr>
              <w:t>-Modells 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vergleichen das </w:t>
            </w:r>
            <w:proofErr w:type="spellStart"/>
            <w:r w:rsidRPr="009D4BF7">
              <w:rPr>
                <w:b/>
                <w:iCs/>
                <w:sz w:val="20"/>
              </w:rPr>
              <w:t>Lotka</w:t>
            </w:r>
            <w:proofErr w:type="spellEnd"/>
            <w:r w:rsidRPr="009D4BF7">
              <w:rPr>
                <w:b/>
                <w:iCs/>
                <w:sz w:val="20"/>
              </w:rPr>
              <w:t>-</w:t>
            </w:r>
            <w:proofErr w:type="spellStart"/>
            <w:r w:rsidRPr="009D4BF7">
              <w:rPr>
                <w:b/>
                <w:iCs/>
                <w:sz w:val="20"/>
              </w:rPr>
              <w:t>Volterra</w:t>
            </w:r>
            <w:proofErr w:type="spellEnd"/>
            <w:r w:rsidRPr="009D4BF7">
              <w:rPr>
                <w:b/>
                <w:iCs/>
                <w:sz w:val="20"/>
              </w:rPr>
              <w:t>-Modell mit veröffentlichten Daten aus Freilandmessungen und diskutier</w:t>
            </w:r>
            <w:r w:rsidR="00CC1938" w:rsidRPr="009D4BF7">
              <w:rPr>
                <w:b/>
                <w:iCs/>
                <w:sz w:val="20"/>
              </w:rPr>
              <w:t>en die Grenzen des Modells 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leiten aus Untersuchungsdaten zu intra- und interspezifischen Beziehungen (u.a. Parasitismus, Symbiose, Konkurrenz) mögliche Folgen für die jeweiligen Arten ab und präsentieren diese unter Verwendung angemessener Medien (E5, K3,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382803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 mit Hilfe des Modells der ökologischen Nische die Koexistenz von Arten (E6, 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die Aussagekraft von biologischen Regeln (u.a. tiergeographische Regeln) und grenzen diese von naturwissenschaftlichen Gesetzen ab (E7, K4)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mithilfe einfacher Schemata das Grundprinzip der Energieumwandlung in den Fotosystemen und den Mechanismus der ATP-Synthese (K3, UF1)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stellen energetische und stoffliche Beziehungen verschiedener Organismen unter den Aspekten von Nahrungskette, Nahrungsnetz und </w:t>
            </w:r>
            <w:proofErr w:type="spellStart"/>
            <w:r w:rsidRPr="009D4BF7">
              <w:rPr>
                <w:b/>
                <w:iCs/>
                <w:sz w:val="20"/>
              </w:rPr>
              <w:t>Trophieebene</w:t>
            </w:r>
            <w:proofErr w:type="spellEnd"/>
            <w:r w:rsidRPr="009D4BF7">
              <w:rPr>
                <w:b/>
                <w:iCs/>
                <w:sz w:val="20"/>
              </w:rPr>
              <w:t xml:space="preserve"> formal, sprachlich und fachlich korrekt dar (K1, K3)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präsentieren und erklären auf der Grundlage von Untersuchungsdaten die Wirkung von anthropogenen Faktoren auf ausgewählte globale Stoffkreisläufe (K1, K3, UF1)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recherchieren Beispiele für die biologische Invasion von Arten und leiten Folgen für das Ökosystem ab (K2, K4)</w:t>
            </w:r>
          </w:p>
        </w:tc>
      </w:tr>
      <w:tr w:rsidR="009D4BF7" w:rsidRPr="009D4BF7" w:rsidTr="00A67F4D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diskutieren Konflikte zwischen der Nutzung natürlicher Ressourcen und dem Naturschutz (B2, B3)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Default="00A67F4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Pr="009D4BF7" w:rsidRDefault="00A67F4D" w:rsidP="00A67F4D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entwickeln Handlungsoptionen für das eigene Konsumverhalten und schätzen diese unter dem Aspekt der Nachhaltigkeit ein (B2, B3)</w:t>
            </w:r>
          </w:p>
        </w:tc>
      </w:tr>
    </w:tbl>
    <w:p w:rsidR="001C275F" w:rsidRPr="009D4BF7" w:rsidRDefault="001C275F" w:rsidP="00DA0F71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E436E9" w:rsidRPr="009D4BF7" w:rsidRDefault="00B37236" w:rsidP="00DA0F71">
      <w:pPr>
        <w:shd w:val="clear" w:color="auto" w:fill="7F7F7F" w:themeFill="text1" w:themeFillTint="80"/>
        <w:jc w:val="left"/>
        <w:rPr>
          <w:b/>
          <w:sz w:val="20"/>
        </w:rPr>
      </w:pPr>
      <w:r w:rsidRPr="009D4BF7">
        <w:rPr>
          <w:b/>
          <w:sz w:val="20"/>
        </w:rPr>
        <w:lastRenderedPageBreak/>
        <w:t>Inhaltsfeld VI:</w:t>
      </w:r>
      <w:r w:rsidR="0013415C" w:rsidRPr="009D4BF7">
        <w:rPr>
          <w:b/>
          <w:sz w:val="20"/>
        </w:rPr>
        <w:t xml:space="preserve"> Evolution</w:t>
      </w:r>
      <w:r w:rsidR="00310D12" w:rsidRPr="009D4BF7">
        <w:rPr>
          <w:b/>
          <w:sz w:val="20"/>
        </w:rPr>
        <w:t xml:space="preserve"> (Leistungskurs</w:t>
      </w:r>
      <w:r w:rsidR="00136FE7" w:rsidRPr="009D4BF7">
        <w:rPr>
          <w:b/>
          <w:sz w:val="20"/>
        </w:rPr>
        <w:t>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</w:t>
            </w:r>
            <w:r w:rsidR="00827676" w:rsidRPr="009D4BF7">
              <w:rPr>
                <w:b/>
                <w:sz w:val="20"/>
              </w:rPr>
              <w:t>I</w:t>
            </w:r>
            <w:r w:rsidRPr="009D4BF7">
              <w:rPr>
                <w:b/>
                <w:sz w:val="20"/>
              </w:rPr>
              <w:t>.1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9D4BF7" w:rsidRDefault="0044310A" w:rsidP="0044310A">
            <w:pPr>
              <w:numPr>
                <w:ilvl w:val="0"/>
                <w:numId w:val="4"/>
              </w:numPr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die Einordnung von Lebewesen mithilfe der Systematik und der binären Nomenklatur 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die synthetische Evolutionstheorie zusammenfassend dar (</w:t>
            </w:r>
            <w:r w:rsidR="00940752" w:rsidRPr="009D4BF7">
              <w:rPr>
                <w:b/>
                <w:iCs/>
                <w:sz w:val="20"/>
              </w:rPr>
              <w:t>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erläutern den Einfluss der Evolutionsfaktoren (Mutation, Rekombination, Selektion, </w:t>
            </w:r>
            <w:proofErr w:type="spellStart"/>
            <w:r w:rsidRPr="009D4BF7">
              <w:rPr>
                <w:b/>
                <w:iCs/>
                <w:sz w:val="20"/>
              </w:rPr>
              <w:t>Gendrift</w:t>
            </w:r>
            <w:proofErr w:type="spellEnd"/>
            <w:r w:rsidRPr="009D4BF7">
              <w:rPr>
                <w:b/>
                <w:iCs/>
                <w:sz w:val="20"/>
              </w:rPr>
              <w:t>) auf den Genpool einer Population (UF4,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den Vorgang der adaptiven Radiation unter dem Aspekt der Angepasstheit dar (UF2,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erläutern das Konzept der Fitness und seine Bedeutung für den Prozess der Evolution unter dem Aspekt der Weitergabe von Allelen (UF1, UF4)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beschreiben und erläutern molekulare Verfahren zur Analyse von phylogenetischen Verwandtschaften zwischen Lebewesen (UF1, UF2)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ordnen den modernen Menschen </w:t>
            </w:r>
            <w:proofErr w:type="spellStart"/>
            <w:r w:rsidRPr="009D4BF7">
              <w:rPr>
                <w:b/>
                <w:iCs/>
                <w:sz w:val="20"/>
              </w:rPr>
              <w:t>kriteriengeleitet</w:t>
            </w:r>
            <w:proofErr w:type="spellEnd"/>
            <w:r w:rsidRPr="009D4BF7">
              <w:rPr>
                <w:b/>
                <w:iCs/>
                <w:sz w:val="20"/>
              </w:rPr>
              <w:t xml:space="preserve"> den Primaten zu (UF3)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beschreiben </w:t>
            </w:r>
            <w:proofErr w:type="spellStart"/>
            <w:r w:rsidRPr="009D4BF7">
              <w:rPr>
                <w:b/>
                <w:iCs/>
                <w:sz w:val="20"/>
              </w:rPr>
              <w:t>Biodiversität</w:t>
            </w:r>
            <w:proofErr w:type="spellEnd"/>
            <w:r w:rsidRPr="009D4BF7">
              <w:rPr>
                <w:b/>
                <w:iCs/>
                <w:sz w:val="20"/>
              </w:rPr>
              <w:t xml:space="preserve"> auf verschiedenen Systemebenen (genetische Variabilität, Artenvielfalt, Vielfalt der Ökosysteme</w:t>
            </w:r>
            <w:r w:rsidR="00940752" w:rsidRPr="009D4BF7">
              <w:rPr>
                <w:b/>
                <w:iCs/>
                <w:sz w:val="20"/>
              </w:rPr>
              <w:t>) (UF4, UF1, UF2,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940752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 xml:space="preserve">analysieren anhand von Daten die evolutionäre Entwicklung von Sozialstrukturen (Paarungssysteme, </w:t>
            </w:r>
            <w:proofErr w:type="spellStart"/>
            <w:r w:rsidRPr="009D4BF7">
              <w:rPr>
                <w:b/>
                <w:sz w:val="20"/>
              </w:rPr>
              <w:t>Habitatwahl</w:t>
            </w:r>
            <w:proofErr w:type="spellEnd"/>
            <w:r w:rsidRPr="009D4BF7">
              <w:rPr>
                <w:b/>
                <w:sz w:val="20"/>
              </w:rPr>
              <w:t>) unter dem Aspekt der Fitnessmaximierung (E5, UF2, UF4,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Erklärungsmodelle für die Evolution in ihrer historischen Entwicklung und die damit verbundenen Veränderungen des Weltbildes dar (E7)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belegen an Beispielen den aktuellen evolutionären Wandel von Organismen (u.a. mithilfe von Auszügen aus Gendatenbanken) (E2, E5)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94075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analysieren molekulargenetische Daten und deuten sie mit Daten aus klassischen Datierungsmethoden im Hinblick auf die Verbreitung von Allelen und Verwandtschaftsbeziehungen von Lebewesen (E5, 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deuten Daten zu anatomisch-morphologischen und molekularen Merkmalen von Organismen zum Beleg konvergenter und divergenter Entwicklungen (E5, UF3)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VI.14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9D4BF7" w:rsidRDefault="0044310A" w:rsidP="004431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bestimmen und modellieren mithilfe des Hardy-Weinberg-Gesetzes die </w:t>
            </w:r>
            <w:proofErr w:type="spellStart"/>
            <w:r w:rsidRPr="009D4BF7">
              <w:rPr>
                <w:b/>
                <w:iCs/>
                <w:sz w:val="20"/>
              </w:rPr>
              <w:t>Allelfrequenzen</w:t>
            </w:r>
            <w:proofErr w:type="spellEnd"/>
            <w:r w:rsidRPr="009D4BF7">
              <w:rPr>
                <w:b/>
                <w:iCs/>
                <w:sz w:val="20"/>
              </w:rPr>
              <w:t xml:space="preserve"> in Populationen und geben Bedingungen für die Gültigkeit des Gesetzes an (E6)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VI.15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erklären Modellvorstellungen zu Artbildungsprozessen (u.a. </w:t>
            </w:r>
            <w:proofErr w:type="spellStart"/>
            <w:r w:rsidRPr="009D4BF7">
              <w:rPr>
                <w:b/>
                <w:iCs/>
                <w:sz w:val="20"/>
              </w:rPr>
              <w:t>allopatrische</w:t>
            </w:r>
            <w:proofErr w:type="spellEnd"/>
            <w:r w:rsidRPr="009D4BF7">
              <w:rPr>
                <w:b/>
                <w:iCs/>
                <w:sz w:val="20"/>
              </w:rPr>
              <w:t xml:space="preserve"> und </w:t>
            </w:r>
            <w:proofErr w:type="spellStart"/>
            <w:r w:rsidRPr="009D4BF7">
              <w:rPr>
                <w:b/>
                <w:iCs/>
                <w:sz w:val="20"/>
              </w:rPr>
              <w:t>sympatrische</w:t>
            </w:r>
            <w:proofErr w:type="spellEnd"/>
            <w:r w:rsidRPr="009D4BF7">
              <w:rPr>
                <w:b/>
                <w:iCs/>
                <w:sz w:val="20"/>
              </w:rPr>
              <w:t xml:space="preserve"> Artbildung) an Beispielen (E6, UF1)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VI.16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entwickeln und erläutern Hypothesen zu phylogenetischen Stammbäumen auf der Basis von Daten zu anatomisch-morphologischen und molekularen Homologien (E3, E5, K1, K4)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VI.17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erstellen und analysieren Stammbäume anhand von Daten zur Ermittlung von Verwandtschaft</w:t>
            </w:r>
            <w:r w:rsidR="00940752" w:rsidRPr="009D4BF7">
              <w:rPr>
                <w:b/>
                <w:iCs/>
                <w:sz w:val="20"/>
              </w:rPr>
              <w:t>sbeziehungen von Arten (E3, E5)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VI.18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stellen Belege für die Evolution aus verschiedenen Bereichen der Biologie (u.a. Molekularbiologie) adressatengerecht dar (K1, K3)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VI.19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erklären mithilfe molekulargenetischer Modellvorstellungen zur Evolution der Genome die genetische Vielfalt der Lebewesen (K4, E6)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VI.20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diskutieren wissenschaftliche Befunde (u.a. Schlüsselmerkmale) und Hypothesen zur Humanevolution unter dem Aspekt ihrer Vorläufigkeit kritisch-konstruktiv (K4, E7)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VI.21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 xml:space="preserve">wählen angemessene Medien zur Darstellung von Beispielen zur </w:t>
            </w:r>
            <w:proofErr w:type="spellStart"/>
            <w:r w:rsidRPr="009D4BF7">
              <w:rPr>
                <w:b/>
                <w:iCs/>
                <w:sz w:val="20"/>
              </w:rPr>
              <w:t>Coevolution</w:t>
            </w:r>
            <w:proofErr w:type="spellEnd"/>
            <w:r w:rsidRPr="009D4BF7">
              <w:rPr>
                <w:b/>
                <w:iCs/>
                <w:sz w:val="20"/>
              </w:rPr>
              <w:t xml:space="preserve"> aus und präsentieren die Beispiele (K3, UF2)</w:t>
            </w:r>
          </w:p>
        </w:tc>
      </w:tr>
      <w:tr w:rsidR="009D4BF7" w:rsidRPr="009D4BF7" w:rsidTr="00844D64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lastRenderedPageBreak/>
              <w:t>VI.22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iCs/>
                <w:sz w:val="20"/>
              </w:rPr>
            </w:pPr>
            <w:r w:rsidRPr="009D4BF7">
              <w:rPr>
                <w:b/>
                <w:iCs/>
                <w:sz w:val="20"/>
              </w:rPr>
              <w:t>grenzen die Synthetische Theorie der Evolution gegenüber nicht naturwissenschaftlichen Positionen zur Entstehung von Artenvielfalt ab und nehmen zu diesen begründet Stellung (B2, K4)</w:t>
            </w:r>
          </w:p>
        </w:tc>
      </w:tr>
      <w:tr w:rsidR="009D4BF7" w:rsidRPr="009D4BF7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Default="0094075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VI.23</w:t>
            </w:r>
          </w:p>
          <w:p w:rsidR="00524CD0" w:rsidRPr="009D4BF7" w:rsidRDefault="00524CD0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Pr="009D4BF7" w:rsidRDefault="00844D64" w:rsidP="00844D64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b/>
                <w:sz w:val="20"/>
              </w:rPr>
            </w:pPr>
            <w:r w:rsidRPr="009D4BF7">
              <w:rPr>
                <w:b/>
                <w:sz w:val="20"/>
              </w:rPr>
              <w:t>bewerten</w:t>
            </w:r>
            <w:r w:rsidRPr="009D4BF7">
              <w:rPr>
                <w:b/>
                <w:iCs/>
                <w:sz w:val="20"/>
              </w:rPr>
              <w:t xml:space="preserve"> die Problematik des Rasse-Begriffs beim Menschen aus historischer und gesellschaftlicher Sicht und nehmen zum Missbrauch dieses Begriffs aus fachlicher Perspektive Stellung (B1, B3, K4)</w:t>
            </w:r>
          </w:p>
        </w:tc>
      </w:tr>
    </w:tbl>
    <w:p w:rsidR="00941BCC" w:rsidRPr="009D4BF7" w:rsidRDefault="00941BCC" w:rsidP="00DA0F71">
      <w:pPr>
        <w:jc w:val="left"/>
        <w:rPr>
          <w:b/>
          <w:sz w:val="20"/>
        </w:rPr>
      </w:pPr>
      <w:bookmarkStart w:id="0" w:name="_GoBack"/>
      <w:bookmarkEnd w:id="0"/>
    </w:p>
    <w:sectPr w:rsidR="00941BCC" w:rsidRPr="009D4BF7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F0" w:rsidRDefault="00EC7FF0" w:rsidP="00B82978">
      <w:r>
        <w:separator/>
      </w:r>
    </w:p>
  </w:endnote>
  <w:endnote w:type="continuationSeparator" w:id="0">
    <w:p w:rsidR="00EC7FF0" w:rsidRDefault="00EC7FF0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F0" w:rsidRDefault="00EC7FF0" w:rsidP="00B82978">
      <w:r>
        <w:separator/>
      </w:r>
    </w:p>
  </w:footnote>
  <w:footnote w:type="continuationSeparator" w:id="0">
    <w:p w:rsidR="00EC7FF0" w:rsidRDefault="00EC7FF0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DDD"/>
    <w:rsid w:val="00026662"/>
    <w:rsid w:val="00030F3F"/>
    <w:rsid w:val="00056AD8"/>
    <w:rsid w:val="000752F4"/>
    <w:rsid w:val="00087EA8"/>
    <w:rsid w:val="00096D92"/>
    <w:rsid w:val="000A621E"/>
    <w:rsid w:val="000B1BA1"/>
    <w:rsid w:val="0012026E"/>
    <w:rsid w:val="00132EC8"/>
    <w:rsid w:val="0013415C"/>
    <w:rsid w:val="00136FE7"/>
    <w:rsid w:val="001412C3"/>
    <w:rsid w:val="00155D52"/>
    <w:rsid w:val="00183342"/>
    <w:rsid w:val="001B07DD"/>
    <w:rsid w:val="001C275F"/>
    <w:rsid w:val="001D7470"/>
    <w:rsid w:val="002178CA"/>
    <w:rsid w:val="00226500"/>
    <w:rsid w:val="002422F8"/>
    <w:rsid w:val="00251902"/>
    <w:rsid w:val="00267DE3"/>
    <w:rsid w:val="0028471C"/>
    <w:rsid w:val="002921D6"/>
    <w:rsid w:val="0029246D"/>
    <w:rsid w:val="002A2FB1"/>
    <w:rsid w:val="002A3A71"/>
    <w:rsid w:val="002B7B52"/>
    <w:rsid w:val="002D6FEC"/>
    <w:rsid w:val="002E3F29"/>
    <w:rsid w:val="002E7A16"/>
    <w:rsid w:val="00304539"/>
    <w:rsid w:val="0030648F"/>
    <w:rsid w:val="00310D12"/>
    <w:rsid w:val="0031150C"/>
    <w:rsid w:val="0031238B"/>
    <w:rsid w:val="00313AD4"/>
    <w:rsid w:val="0031436F"/>
    <w:rsid w:val="00317A51"/>
    <w:rsid w:val="00321A2F"/>
    <w:rsid w:val="00327448"/>
    <w:rsid w:val="00370A1A"/>
    <w:rsid w:val="00382803"/>
    <w:rsid w:val="003925A0"/>
    <w:rsid w:val="003A1D36"/>
    <w:rsid w:val="003B3019"/>
    <w:rsid w:val="003C6A8D"/>
    <w:rsid w:val="0041382E"/>
    <w:rsid w:val="00441DFF"/>
    <w:rsid w:val="0044310A"/>
    <w:rsid w:val="00454382"/>
    <w:rsid w:val="00476CC1"/>
    <w:rsid w:val="00493C63"/>
    <w:rsid w:val="004A27DD"/>
    <w:rsid w:val="004F5F4E"/>
    <w:rsid w:val="00503C86"/>
    <w:rsid w:val="00507645"/>
    <w:rsid w:val="00524CD0"/>
    <w:rsid w:val="005370AD"/>
    <w:rsid w:val="00563984"/>
    <w:rsid w:val="00574193"/>
    <w:rsid w:val="005A14CA"/>
    <w:rsid w:val="005A3E28"/>
    <w:rsid w:val="005E75E4"/>
    <w:rsid w:val="005F15C8"/>
    <w:rsid w:val="00602968"/>
    <w:rsid w:val="006322FB"/>
    <w:rsid w:val="00637B37"/>
    <w:rsid w:val="00652665"/>
    <w:rsid w:val="00656C09"/>
    <w:rsid w:val="006848A0"/>
    <w:rsid w:val="006A4CF7"/>
    <w:rsid w:val="006B1925"/>
    <w:rsid w:val="006B2C26"/>
    <w:rsid w:val="006D50F5"/>
    <w:rsid w:val="006D7784"/>
    <w:rsid w:val="006E6115"/>
    <w:rsid w:val="006E64BE"/>
    <w:rsid w:val="007442CF"/>
    <w:rsid w:val="00773A32"/>
    <w:rsid w:val="0079314B"/>
    <w:rsid w:val="00794999"/>
    <w:rsid w:val="007A60DC"/>
    <w:rsid w:val="0081060A"/>
    <w:rsid w:val="00813B8A"/>
    <w:rsid w:val="008164CA"/>
    <w:rsid w:val="00827676"/>
    <w:rsid w:val="008375BF"/>
    <w:rsid w:val="008430F7"/>
    <w:rsid w:val="00844D64"/>
    <w:rsid w:val="0089496D"/>
    <w:rsid w:val="008D4B91"/>
    <w:rsid w:val="008D7BAC"/>
    <w:rsid w:val="00926C51"/>
    <w:rsid w:val="00926D3F"/>
    <w:rsid w:val="00940752"/>
    <w:rsid w:val="00941BCC"/>
    <w:rsid w:val="009511A9"/>
    <w:rsid w:val="009549DB"/>
    <w:rsid w:val="009746E6"/>
    <w:rsid w:val="00981DE2"/>
    <w:rsid w:val="009A0698"/>
    <w:rsid w:val="009A634B"/>
    <w:rsid w:val="009D4BF7"/>
    <w:rsid w:val="00A17FB2"/>
    <w:rsid w:val="00A23577"/>
    <w:rsid w:val="00A23C7E"/>
    <w:rsid w:val="00A31FA8"/>
    <w:rsid w:val="00A67F4D"/>
    <w:rsid w:val="00A74A7A"/>
    <w:rsid w:val="00AD19C7"/>
    <w:rsid w:val="00AE1005"/>
    <w:rsid w:val="00AF701A"/>
    <w:rsid w:val="00B06576"/>
    <w:rsid w:val="00B101F5"/>
    <w:rsid w:val="00B237B7"/>
    <w:rsid w:val="00B32D39"/>
    <w:rsid w:val="00B37236"/>
    <w:rsid w:val="00B4752B"/>
    <w:rsid w:val="00B5142D"/>
    <w:rsid w:val="00B56AC8"/>
    <w:rsid w:val="00B82978"/>
    <w:rsid w:val="00B94BBF"/>
    <w:rsid w:val="00BD1052"/>
    <w:rsid w:val="00C0188A"/>
    <w:rsid w:val="00C03BAA"/>
    <w:rsid w:val="00C05E28"/>
    <w:rsid w:val="00C102A7"/>
    <w:rsid w:val="00C34E44"/>
    <w:rsid w:val="00C526A8"/>
    <w:rsid w:val="00C812E0"/>
    <w:rsid w:val="00CA17B7"/>
    <w:rsid w:val="00CC1938"/>
    <w:rsid w:val="00D745E7"/>
    <w:rsid w:val="00DA0F71"/>
    <w:rsid w:val="00DA1BA3"/>
    <w:rsid w:val="00DC0A4A"/>
    <w:rsid w:val="00DE156F"/>
    <w:rsid w:val="00E01212"/>
    <w:rsid w:val="00E0501D"/>
    <w:rsid w:val="00E1580B"/>
    <w:rsid w:val="00E237A2"/>
    <w:rsid w:val="00E436E9"/>
    <w:rsid w:val="00E47D5C"/>
    <w:rsid w:val="00E52C36"/>
    <w:rsid w:val="00EB6A68"/>
    <w:rsid w:val="00EC7FF0"/>
    <w:rsid w:val="00ED02F3"/>
    <w:rsid w:val="00ED3B15"/>
    <w:rsid w:val="00F01ABF"/>
    <w:rsid w:val="00F16B7B"/>
    <w:rsid w:val="00F227B7"/>
    <w:rsid w:val="00F65B3D"/>
    <w:rsid w:val="00F71740"/>
    <w:rsid w:val="00F7291A"/>
    <w:rsid w:val="00F745D0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7A44-AA28-4B87-8FED-CACD6CEB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Kompetenzerwartungen Inhaltsfeld 3 - Genetik</dc:title>
  <dc:subject>Kompetenzerwartungen Genetik im Leistungskurs</dc:subject>
  <dc:creator>QUA-LiS NRW</dc:creator>
  <cp:keywords>Kompetenzerwartungen. Inhaltsfeld 3, Genetik; Listenformat, Übersicht; Leistungskurs; Biologie; Gymnasium; Sekundarstufe II</cp:keywords>
  <cp:lastModifiedBy>Henry</cp:lastModifiedBy>
  <cp:revision>2</cp:revision>
  <cp:lastPrinted>2013-11-17T11:08:00Z</cp:lastPrinted>
  <dcterms:created xsi:type="dcterms:W3CDTF">2013-12-15T17:22:00Z</dcterms:created>
  <dcterms:modified xsi:type="dcterms:W3CDTF">2013-12-15T17:22:00Z</dcterms:modified>
</cp:coreProperties>
</file>