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25" w:rsidRPr="00DB5B63" w:rsidRDefault="005A0625" w:rsidP="005A0625">
      <w:pPr>
        <w:spacing w:before="100" w:beforeAutospacing="1" w:line="240" w:lineRule="atLeast"/>
        <w:jc w:val="right"/>
        <w:textAlignment w:val="baseline"/>
        <w:rPr>
          <w:rFonts w:ascii="Arial" w:eastAsia="Times New Roman" w:hAnsi="Arial" w:cs="Arial"/>
          <w:b/>
          <w:color w:val="000000"/>
          <w:sz w:val="24"/>
          <w:szCs w:val="24"/>
          <w:lang w:val="de-DE"/>
        </w:rPr>
      </w:pPr>
      <w:r w:rsidRPr="00DB5B63">
        <w:rPr>
          <w:rFonts w:ascii="Arial" w:eastAsia="Times New Roman" w:hAnsi="Arial" w:cs="Arial"/>
          <w:b/>
          <w:color w:val="000000"/>
          <w:sz w:val="24"/>
          <w:szCs w:val="24"/>
          <w:lang w:val="de-DE"/>
        </w:rPr>
        <w:t>EF, U</w:t>
      </w:r>
      <w:r>
        <w:rPr>
          <w:rFonts w:ascii="Arial" w:eastAsia="Times New Roman" w:hAnsi="Arial" w:cs="Arial"/>
          <w:b/>
          <w:color w:val="000000"/>
          <w:sz w:val="24"/>
          <w:szCs w:val="24"/>
          <w:lang w:val="de-DE"/>
        </w:rPr>
        <w:t>V</w:t>
      </w:r>
      <w:r w:rsidRPr="00DB5B63">
        <w:rPr>
          <w:rFonts w:ascii="Arial" w:eastAsia="Times New Roman" w:hAnsi="Arial" w:cs="Arial"/>
          <w:b/>
          <w:color w:val="000000"/>
          <w:sz w:val="24"/>
          <w:szCs w:val="24"/>
          <w:lang w:val="de-DE"/>
        </w:rPr>
        <w:t xml:space="preserve"> </w:t>
      </w:r>
      <w:r>
        <w:rPr>
          <w:rFonts w:ascii="Arial" w:eastAsia="Times New Roman" w:hAnsi="Arial" w:cs="Arial"/>
          <w:b/>
          <w:color w:val="000000"/>
          <w:sz w:val="24"/>
          <w:szCs w:val="24"/>
          <w:lang w:val="de-DE"/>
        </w:rPr>
        <w:t xml:space="preserve">V, </w:t>
      </w:r>
      <w:r w:rsidRPr="00DB5B63">
        <w:rPr>
          <w:rFonts w:ascii="Arial" w:eastAsia="Times New Roman" w:hAnsi="Arial" w:cs="Arial"/>
          <w:b/>
          <w:color w:val="000000"/>
          <w:sz w:val="24"/>
          <w:szCs w:val="24"/>
          <w:lang w:val="de-DE"/>
        </w:rPr>
        <w:t>Sequenz I</w:t>
      </w:r>
      <w:r>
        <w:rPr>
          <w:rFonts w:ascii="Arial" w:eastAsia="Times New Roman" w:hAnsi="Arial" w:cs="Arial"/>
          <w:b/>
          <w:color w:val="000000"/>
          <w:sz w:val="24"/>
          <w:szCs w:val="24"/>
          <w:lang w:val="de-DE"/>
        </w:rPr>
        <w:t>I</w:t>
      </w:r>
      <w:r w:rsidRPr="00DB5B63">
        <w:rPr>
          <w:rFonts w:ascii="Arial" w:eastAsia="Times New Roman" w:hAnsi="Arial" w:cs="Arial"/>
          <w:b/>
          <w:color w:val="000000"/>
          <w:sz w:val="24"/>
          <w:szCs w:val="24"/>
          <w:lang w:val="de-DE"/>
        </w:rPr>
        <w:t xml:space="preserve">, M </w:t>
      </w:r>
      <w:r w:rsidR="00181603">
        <w:rPr>
          <w:rFonts w:ascii="Arial" w:eastAsia="Times New Roman" w:hAnsi="Arial" w:cs="Arial"/>
          <w:b/>
          <w:color w:val="000000"/>
          <w:sz w:val="24"/>
          <w:szCs w:val="24"/>
          <w:lang w:val="de-DE"/>
        </w:rPr>
        <w:t>5</w:t>
      </w:r>
    </w:p>
    <w:p w:rsidR="005A0625" w:rsidRDefault="005A0625" w:rsidP="00880021">
      <w:pPr>
        <w:spacing w:after="120" w:line="240" w:lineRule="atLeast"/>
        <w:rPr>
          <w:rFonts w:ascii="Arial" w:hAnsi="Arial" w:cs="Arial"/>
          <w:b/>
          <w:sz w:val="28"/>
          <w:szCs w:val="28"/>
          <w:lang w:val="de-DE"/>
        </w:rPr>
      </w:pPr>
    </w:p>
    <w:p w:rsidR="005A0625" w:rsidRDefault="005A0625" w:rsidP="00880021">
      <w:pPr>
        <w:spacing w:after="120" w:line="240" w:lineRule="atLeast"/>
        <w:rPr>
          <w:rFonts w:ascii="Arial" w:hAnsi="Arial" w:cs="Arial"/>
          <w:b/>
          <w:sz w:val="28"/>
          <w:szCs w:val="28"/>
          <w:lang w:val="de-DE"/>
        </w:rPr>
      </w:pPr>
    </w:p>
    <w:p w:rsidR="002C1C11" w:rsidRPr="002C1C11" w:rsidRDefault="002C1C11" w:rsidP="00880021">
      <w:pPr>
        <w:spacing w:after="120" w:line="240" w:lineRule="atLeast"/>
        <w:rPr>
          <w:rFonts w:ascii="Arial" w:hAnsi="Arial" w:cs="Arial"/>
          <w:b/>
          <w:sz w:val="28"/>
          <w:szCs w:val="28"/>
          <w:lang w:val="de-DE"/>
        </w:rPr>
      </w:pPr>
      <w:r>
        <w:rPr>
          <w:rFonts w:ascii="Arial" w:hAnsi="Arial" w:cs="Arial"/>
          <w:b/>
          <w:sz w:val="28"/>
          <w:szCs w:val="28"/>
          <w:lang w:val="de-DE"/>
        </w:rPr>
        <w:t>K</w:t>
      </w:r>
      <w:r w:rsidRPr="00815714">
        <w:rPr>
          <w:rFonts w:ascii="Arial" w:hAnsi="Arial" w:cs="Arial"/>
          <w:b/>
          <w:sz w:val="28"/>
          <w:szCs w:val="28"/>
          <w:lang w:val="de-DE"/>
        </w:rPr>
        <w:t xml:space="preserve">ann Gottes Existenz aus seinem Begriff hergeleitet werden? </w:t>
      </w:r>
      <w:r w:rsidRPr="002C1C11">
        <w:rPr>
          <w:rFonts w:ascii="Arial" w:hAnsi="Arial" w:cs="Arial"/>
          <w:b/>
          <w:sz w:val="28"/>
          <w:szCs w:val="28"/>
          <w:lang w:val="de-DE"/>
        </w:rPr>
        <w:t>– Der ontologische Beweis</w:t>
      </w:r>
    </w:p>
    <w:p w:rsidR="002C1C11" w:rsidRPr="00E50CE1" w:rsidRDefault="002C1C11" w:rsidP="00880021">
      <w:pPr>
        <w:spacing w:after="120"/>
        <w:jc w:val="both"/>
        <w:textAlignment w:val="baseline"/>
        <w:rPr>
          <w:rFonts w:ascii="Arial" w:eastAsia="Garamond" w:hAnsi="Arial" w:cs="Arial"/>
          <w:b/>
          <w:color w:val="000000"/>
          <w:sz w:val="24"/>
          <w:szCs w:val="24"/>
          <w:lang w:val="de-DE"/>
        </w:rPr>
      </w:pPr>
      <w:r w:rsidRPr="00E50CE1">
        <w:rPr>
          <w:rFonts w:ascii="Arial" w:eastAsia="Garamond" w:hAnsi="Arial" w:cs="Arial"/>
          <w:b/>
          <w:color w:val="000000"/>
          <w:sz w:val="24"/>
          <w:szCs w:val="24"/>
          <w:lang w:val="de-DE"/>
        </w:rPr>
        <w:t xml:space="preserve">Anselm von Canterbury: Das ontologische Argument  </w:t>
      </w:r>
    </w:p>
    <w:p w:rsidR="002C1C11" w:rsidRDefault="002C1C11" w:rsidP="002C1C11">
      <w:pPr>
        <w:spacing w:after="120" w:line="237" w:lineRule="exact"/>
        <w:jc w:val="both"/>
        <w:textAlignment w:val="baseline"/>
        <w:rPr>
          <w:rFonts w:eastAsia="Garamond"/>
          <w:i/>
          <w:color w:val="000000"/>
          <w:lang w:val="de-DE"/>
        </w:rPr>
      </w:pPr>
      <w:r w:rsidRPr="00E50CE1">
        <w:rPr>
          <w:rFonts w:eastAsia="Garamond"/>
          <w:i/>
          <w:color w:val="000000"/>
          <w:lang w:val="de-DE"/>
        </w:rPr>
        <w:t>Schon der kosmologische Gottesbeweis setzt eine Vorstellung von Gott voraus, nach der dieser, im G</w:t>
      </w:r>
      <w:r w:rsidRPr="00E50CE1">
        <w:rPr>
          <w:rFonts w:eastAsia="Garamond"/>
          <w:i/>
          <w:color w:val="000000"/>
          <w:lang w:val="de-DE"/>
        </w:rPr>
        <w:t>e</w:t>
      </w:r>
      <w:r w:rsidRPr="00E50CE1">
        <w:rPr>
          <w:rFonts w:eastAsia="Garamond"/>
          <w:i/>
          <w:color w:val="000000"/>
          <w:lang w:val="de-DE"/>
        </w:rPr>
        <w:t xml:space="preserve">gensatz zu allem, was wir über Ereignisfolgen in der Welt wissen, seine eigene Ursache (causa sui) ist bzw. sein kann. Der folgende, sog. ontologische Gottesbeweis des mittelalterlichen Benediktinermönchs und späteren Erzbischofs </w:t>
      </w:r>
      <w:r w:rsidRPr="00E50CE1">
        <w:rPr>
          <w:rFonts w:eastAsia="Garamond"/>
          <w:b/>
          <w:i/>
          <w:color w:val="000000"/>
          <w:lang w:val="de-DE"/>
        </w:rPr>
        <w:t>Anselm von Canterbury</w:t>
      </w:r>
      <w:r w:rsidRPr="00E50CE1">
        <w:rPr>
          <w:rFonts w:eastAsia="Garamond"/>
          <w:i/>
          <w:color w:val="000000"/>
          <w:lang w:val="de-DE"/>
        </w:rPr>
        <w:t xml:space="preserve"> (1034 – 1109) basiert ebenfalls auf einem Begriff von Gott, der diesen vor allem anderen Seienden auszeichnet. Im Gegensatz zu den vorherigen kommt der ontologische Beweis ohne den Rückgriff auf Erfahrung aus, Gottes Existenz wird allein aus der menschl</w:t>
      </w:r>
      <w:r w:rsidRPr="00E50CE1">
        <w:rPr>
          <w:rFonts w:eastAsia="Garamond"/>
          <w:i/>
          <w:color w:val="000000"/>
          <w:lang w:val="de-DE"/>
        </w:rPr>
        <w:t>i</w:t>
      </w:r>
      <w:r w:rsidRPr="00E50CE1">
        <w:rPr>
          <w:rFonts w:eastAsia="Garamond"/>
          <w:i/>
          <w:color w:val="000000"/>
          <w:lang w:val="de-DE"/>
        </w:rPr>
        <w:t xml:space="preserve">chen Vernunft bzw. dem Verstand abgeleitet.  </w:t>
      </w:r>
    </w:p>
    <w:p w:rsidR="0083044C" w:rsidRPr="0083044C" w:rsidRDefault="0083044C" w:rsidP="0083044C">
      <w:pPr>
        <w:pStyle w:val="Listenabsatz"/>
        <w:numPr>
          <w:ilvl w:val="0"/>
          <w:numId w:val="5"/>
        </w:numPr>
        <w:spacing w:after="120" w:line="237" w:lineRule="exact"/>
        <w:ind w:left="360"/>
        <w:jc w:val="both"/>
        <w:textAlignment w:val="baseline"/>
        <w:rPr>
          <w:rFonts w:eastAsia="Garamond"/>
          <w:i/>
          <w:color w:val="000000"/>
          <w:lang w:val="de-DE"/>
        </w:rPr>
      </w:pPr>
      <w:r>
        <w:rPr>
          <w:rFonts w:ascii="Arial" w:eastAsia="Garamond" w:hAnsi="Arial" w:cs="Arial"/>
          <w:i/>
          <w:color w:val="000000"/>
          <w:lang w:val="de-DE"/>
        </w:rPr>
        <w:t>Stellen Sie sich vor, Sie müssten einen Zweif</w:t>
      </w:r>
      <w:r w:rsidR="0004786D">
        <w:rPr>
          <w:rFonts w:ascii="Arial" w:eastAsia="Garamond" w:hAnsi="Arial" w:cs="Arial"/>
          <w:i/>
          <w:color w:val="000000"/>
          <w:lang w:val="de-DE"/>
        </w:rPr>
        <w:t xml:space="preserve">ler </w:t>
      </w:r>
      <w:r>
        <w:rPr>
          <w:rFonts w:ascii="Arial" w:eastAsia="Garamond" w:hAnsi="Arial" w:cs="Arial"/>
          <w:i/>
          <w:color w:val="000000"/>
          <w:lang w:val="de-DE"/>
        </w:rPr>
        <w:t>von der Existenz Gottes überzeugen</w:t>
      </w:r>
      <w:r w:rsidR="0004786D">
        <w:rPr>
          <w:rFonts w:ascii="Arial" w:eastAsia="Garamond" w:hAnsi="Arial" w:cs="Arial"/>
          <w:i/>
          <w:color w:val="000000"/>
          <w:lang w:val="de-DE"/>
        </w:rPr>
        <w:t>. Der Zweifler weiß nichts über das U</w:t>
      </w:r>
      <w:r>
        <w:rPr>
          <w:rFonts w:ascii="Arial" w:eastAsia="Garamond" w:hAnsi="Arial" w:cs="Arial"/>
          <w:i/>
          <w:color w:val="000000"/>
          <w:lang w:val="de-DE"/>
        </w:rPr>
        <w:t xml:space="preserve">niversum </w:t>
      </w:r>
      <w:r w:rsidR="0004786D">
        <w:rPr>
          <w:rFonts w:ascii="Arial" w:eastAsia="Garamond" w:hAnsi="Arial" w:cs="Arial"/>
          <w:i/>
          <w:color w:val="000000"/>
          <w:lang w:val="de-DE"/>
        </w:rPr>
        <w:t>und d</w:t>
      </w:r>
      <w:r>
        <w:rPr>
          <w:rFonts w:ascii="Arial" w:eastAsia="Garamond" w:hAnsi="Arial" w:cs="Arial"/>
          <w:i/>
          <w:color w:val="000000"/>
          <w:lang w:val="de-DE"/>
        </w:rPr>
        <w:t>ie Beschaffenheit der Natur</w:t>
      </w:r>
      <w:r w:rsidR="0004786D">
        <w:rPr>
          <w:rFonts w:ascii="Arial" w:eastAsia="Garamond" w:hAnsi="Arial" w:cs="Arial"/>
          <w:i/>
          <w:color w:val="000000"/>
          <w:lang w:val="de-DE"/>
        </w:rPr>
        <w:t>, aber er kann l</w:t>
      </w:r>
      <w:r w:rsidR="0004786D">
        <w:rPr>
          <w:rFonts w:ascii="Arial" w:eastAsia="Garamond" w:hAnsi="Arial" w:cs="Arial"/>
          <w:i/>
          <w:color w:val="000000"/>
          <w:lang w:val="de-DE"/>
        </w:rPr>
        <w:t>o</w:t>
      </w:r>
      <w:r w:rsidR="0004786D">
        <w:rPr>
          <w:rFonts w:ascii="Arial" w:eastAsia="Garamond" w:hAnsi="Arial" w:cs="Arial"/>
          <w:i/>
          <w:color w:val="000000"/>
          <w:lang w:val="de-DE"/>
        </w:rPr>
        <w:t xml:space="preserve">gisch schließen. </w:t>
      </w:r>
      <w:r w:rsidR="004C072F">
        <w:rPr>
          <w:rFonts w:ascii="Arial" w:eastAsia="Garamond" w:hAnsi="Arial" w:cs="Arial"/>
          <w:i/>
          <w:color w:val="000000"/>
          <w:lang w:val="de-DE"/>
        </w:rPr>
        <w:t>Der</w:t>
      </w:r>
      <w:r w:rsidR="0004786D">
        <w:rPr>
          <w:rFonts w:ascii="Arial" w:eastAsia="Garamond" w:hAnsi="Arial" w:cs="Arial"/>
          <w:i/>
          <w:color w:val="000000"/>
          <w:lang w:val="de-DE"/>
        </w:rPr>
        <w:t xml:space="preserve"> Ausgangspunkt lautet: Gott ist das Vollkommenste und Größte, was überhaupt vorstellbar ist. (PA oder GA)   </w:t>
      </w:r>
      <w:r>
        <w:rPr>
          <w:rFonts w:ascii="Arial" w:eastAsia="Garamond" w:hAnsi="Arial" w:cs="Arial"/>
          <w:i/>
          <w:color w:val="000000"/>
          <w:lang w:val="de-DE"/>
        </w:rPr>
        <w:t xml:space="preserve">    </w:t>
      </w:r>
    </w:p>
    <w:p w:rsidR="005A0625" w:rsidRDefault="005A0625" w:rsidP="002C1C11">
      <w:pPr>
        <w:pStyle w:val="KeinLeerraum"/>
        <w:spacing w:after="60"/>
        <w:jc w:val="both"/>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6019</wp:posOffset>
                </wp:positionH>
                <wp:positionV relativeFrom="paragraph">
                  <wp:posOffset>173300</wp:posOffset>
                </wp:positionV>
                <wp:extent cx="5950039" cy="564542"/>
                <wp:effectExtent l="0" t="0" r="12700" b="26035"/>
                <wp:wrapNone/>
                <wp:docPr id="1" name="Textfeld 1"/>
                <wp:cNvGraphicFramePr/>
                <a:graphic xmlns:a="http://schemas.openxmlformats.org/drawingml/2006/main">
                  <a:graphicData uri="http://schemas.microsoft.com/office/word/2010/wordprocessingShape">
                    <wps:wsp>
                      <wps:cNvSpPr txBox="1"/>
                      <wps:spPr>
                        <a:xfrm>
                          <a:off x="0" y="0"/>
                          <a:ext cx="5950039" cy="5645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625" w:rsidRDefault="005A0625" w:rsidP="005A0625">
                            <w:pPr>
                              <w:spacing w:line="200" w:lineRule="exact"/>
                              <w:textAlignment w:val="baseline"/>
                              <w:rPr>
                                <w:rFonts w:ascii="Garamond" w:eastAsia="Garamond" w:hAnsi="Garamond"/>
                                <w:i/>
                                <w:color w:val="000000"/>
                                <w:spacing w:val="4"/>
                                <w:sz w:val="18"/>
                                <w:szCs w:val="18"/>
                                <w:lang w:val="de-DE"/>
                              </w:rPr>
                            </w:pPr>
                            <w:r>
                              <w:rPr>
                                <w:rFonts w:ascii="Garamond" w:eastAsia="Garamond" w:hAnsi="Garamond"/>
                                <w:i/>
                                <w:color w:val="000000"/>
                                <w:spacing w:val="4"/>
                                <w:sz w:val="18"/>
                                <w:szCs w:val="18"/>
                                <w:lang w:val="de-DE"/>
                              </w:rPr>
                              <w:t>Text:</w:t>
                            </w:r>
                          </w:p>
                          <w:p w:rsidR="005A0625" w:rsidRDefault="005A0625" w:rsidP="005A0625">
                            <w:pPr>
                              <w:spacing w:line="200" w:lineRule="exact"/>
                              <w:textAlignment w:val="baseline"/>
                              <w:rPr>
                                <w:rFonts w:ascii="Garamond" w:eastAsia="Garamond" w:hAnsi="Garamond"/>
                                <w:color w:val="000000"/>
                                <w:spacing w:val="4"/>
                                <w:sz w:val="18"/>
                                <w:szCs w:val="18"/>
                                <w:lang w:val="de-DE"/>
                              </w:rPr>
                            </w:pPr>
                            <w:r>
                              <w:rPr>
                                <w:rFonts w:ascii="Garamond" w:eastAsia="Garamond" w:hAnsi="Garamond"/>
                                <w:i/>
                                <w:color w:val="000000"/>
                                <w:spacing w:val="4"/>
                                <w:sz w:val="18"/>
                                <w:szCs w:val="18"/>
                                <w:lang w:val="de-DE"/>
                              </w:rPr>
                              <w:t>Anselm von Canterbury, Anrede (</w:t>
                            </w:r>
                            <w:proofErr w:type="spellStart"/>
                            <w:r>
                              <w:rPr>
                                <w:rFonts w:ascii="Garamond" w:eastAsia="Garamond" w:hAnsi="Garamond"/>
                                <w:i/>
                                <w:color w:val="000000"/>
                                <w:spacing w:val="4"/>
                                <w:sz w:val="18"/>
                                <w:szCs w:val="18"/>
                                <w:lang w:val="de-DE"/>
                              </w:rPr>
                              <w:t>Proslogion</w:t>
                            </w:r>
                            <w:proofErr w:type="spellEnd"/>
                            <w:r>
                              <w:rPr>
                                <w:rFonts w:ascii="Garamond" w:eastAsia="Garamond" w:hAnsi="Garamond"/>
                                <w:i/>
                                <w:color w:val="000000"/>
                                <w:spacing w:val="4"/>
                                <w:sz w:val="18"/>
                                <w:szCs w:val="18"/>
                                <w:lang w:val="de-DE"/>
                              </w:rPr>
                              <w:t xml:space="preserve">), 2. </w:t>
                            </w:r>
                            <w:r>
                              <w:rPr>
                                <w:rFonts w:ascii="Garamond" w:eastAsia="Garamond" w:hAnsi="Garamond"/>
                                <w:color w:val="000000"/>
                                <w:spacing w:val="4"/>
                                <w:sz w:val="18"/>
                                <w:szCs w:val="18"/>
                                <w:lang w:val="de-DE"/>
                              </w:rPr>
                              <w:t xml:space="preserve">Kapitel II-III. In: </w:t>
                            </w:r>
                            <w:proofErr w:type="spellStart"/>
                            <w:r>
                              <w:rPr>
                                <w:rFonts w:ascii="Garamond" w:eastAsia="Garamond" w:hAnsi="Garamond"/>
                                <w:color w:val="000000"/>
                                <w:spacing w:val="4"/>
                                <w:sz w:val="18"/>
                                <w:szCs w:val="18"/>
                                <w:lang w:val="de-DE"/>
                              </w:rPr>
                              <w:t>Anselmi</w:t>
                            </w:r>
                            <w:proofErr w:type="spellEnd"/>
                            <w:r>
                              <w:rPr>
                                <w:rFonts w:ascii="Garamond" w:eastAsia="Garamond" w:hAnsi="Garamond"/>
                                <w:color w:val="000000"/>
                                <w:spacing w:val="4"/>
                                <w:sz w:val="18"/>
                                <w:szCs w:val="18"/>
                                <w:lang w:val="de-DE"/>
                              </w:rPr>
                              <w:t xml:space="preserve"> Opera </w:t>
                            </w:r>
                            <w:proofErr w:type="spellStart"/>
                            <w:r>
                              <w:rPr>
                                <w:rFonts w:ascii="Garamond" w:eastAsia="Garamond" w:hAnsi="Garamond"/>
                                <w:color w:val="000000"/>
                                <w:spacing w:val="4"/>
                                <w:sz w:val="18"/>
                                <w:szCs w:val="18"/>
                                <w:lang w:val="de-DE"/>
                              </w:rPr>
                              <w:t>Omnia</w:t>
                            </w:r>
                            <w:proofErr w:type="spellEnd"/>
                            <w:r>
                              <w:rPr>
                                <w:rFonts w:ascii="Garamond" w:eastAsia="Garamond" w:hAnsi="Garamond"/>
                                <w:color w:val="000000"/>
                                <w:spacing w:val="4"/>
                                <w:sz w:val="18"/>
                                <w:szCs w:val="18"/>
                                <w:lang w:val="de-DE"/>
                              </w:rPr>
                              <w:t xml:space="preserve">. Hrsg. v. F. S. Schmitt. </w:t>
                            </w:r>
                            <w:proofErr w:type="spellStart"/>
                            <w:r>
                              <w:rPr>
                                <w:rFonts w:ascii="Garamond" w:eastAsia="Garamond" w:hAnsi="Garamond"/>
                                <w:color w:val="000000"/>
                                <w:spacing w:val="4"/>
                                <w:sz w:val="18"/>
                                <w:szCs w:val="18"/>
                                <w:lang w:val="de-DE"/>
                              </w:rPr>
                              <w:t>Bd</w:t>
                            </w:r>
                            <w:proofErr w:type="spellEnd"/>
                            <w:r>
                              <w:rPr>
                                <w:rFonts w:ascii="Garamond" w:eastAsia="Garamond" w:hAnsi="Garamond"/>
                                <w:color w:val="000000"/>
                                <w:spacing w:val="4"/>
                                <w:sz w:val="18"/>
                                <w:szCs w:val="18"/>
                                <w:lang w:val="de-DE"/>
                              </w:rPr>
                              <w:t xml:space="preserve"> I. Stuttgart / Bad  </w:t>
                            </w:r>
                            <w:proofErr w:type="spellStart"/>
                            <w:r>
                              <w:rPr>
                                <w:rFonts w:ascii="Garamond" w:eastAsia="Garamond" w:hAnsi="Garamond"/>
                                <w:color w:val="000000"/>
                                <w:spacing w:val="4"/>
                                <w:sz w:val="18"/>
                                <w:szCs w:val="18"/>
                                <w:lang w:val="de-DE"/>
                              </w:rPr>
                              <w:t>Canstatt</w:t>
                            </w:r>
                            <w:proofErr w:type="spellEnd"/>
                            <w:r>
                              <w:rPr>
                                <w:rFonts w:ascii="Garamond" w:eastAsia="Garamond" w:hAnsi="Garamond"/>
                                <w:color w:val="000000"/>
                                <w:spacing w:val="4"/>
                                <w:sz w:val="18"/>
                                <w:szCs w:val="18"/>
                                <w:lang w:val="de-DE"/>
                              </w:rPr>
                              <w:t xml:space="preserve"> 1968, S. 101 f. Aus dem Lat. übers. von Guido Kreis und Christian Rode. </w:t>
                            </w:r>
                          </w:p>
                          <w:p w:rsidR="005A0625" w:rsidRDefault="005A0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5pt;margin-top:13.65pt;width:468.5pt;height:4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" fillcolor="white [3201]" strokeweight=".5pt">
                <v:textbox>
                  <w:txbxContent>
                    <w:p w:rsidR="005A0625" w:rsidRDefault="005A0625" w:rsidP="005A0625">
                      <w:pPr>
                        <w:spacing w:line="200" w:lineRule="exact"/>
                        <w:textAlignment w:val="baseline"/>
                        <w:rPr>
                          <w:rFonts w:ascii="Garamond" w:eastAsia="Garamond" w:hAnsi="Garamond"/>
                          <w:i/>
                          <w:color w:val="000000"/>
                          <w:spacing w:val="4"/>
                          <w:sz w:val="18"/>
                          <w:szCs w:val="18"/>
                          <w:lang w:val="de-DE"/>
                        </w:rPr>
                      </w:pPr>
                      <w:r>
                        <w:rPr>
                          <w:rFonts w:ascii="Garamond" w:eastAsia="Garamond" w:hAnsi="Garamond"/>
                          <w:i/>
                          <w:color w:val="000000"/>
                          <w:spacing w:val="4"/>
                          <w:sz w:val="18"/>
                          <w:szCs w:val="18"/>
                          <w:lang w:val="de-DE"/>
                        </w:rPr>
                        <w:t>Text:</w:t>
                      </w:r>
                    </w:p>
                    <w:p w:rsidR="005A0625" w:rsidRDefault="005A0625" w:rsidP="005A0625">
                      <w:pPr>
                        <w:spacing w:line="200" w:lineRule="exact"/>
                        <w:textAlignment w:val="baseline"/>
                        <w:rPr>
                          <w:rFonts w:ascii="Garamond" w:eastAsia="Garamond" w:hAnsi="Garamond"/>
                          <w:color w:val="000000"/>
                          <w:spacing w:val="4"/>
                          <w:sz w:val="18"/>
                          <w:szCs w:val="18"/>
                          <w:lang w:val="de-DE"/>
                        </w:rPr>
                      </w:pPr>
                      <w:r>
                        <w:rPr>
                          <w:rFonts w:ascii="Garamond" w:eastAsia="Garamond" w:hAnsi="Garamond"/>
                          <w:i/>
                          <w:color w:val="000000"/>
                          <w:spacing w:val="4"/>
                          <w:sz w:val="18"/>
                          <w:szCs w:val="18"/>
                          <w:lang w:val="de-DE"/>
                        </w:rPr>
                        <w:t>Anselm von Canterbury, Anrede (</w:t>
                      </w:r>
                      <w:proofErr w:type="spellStart"/>
                      <w:r>
                        <w:rPr>
                          <w:rFonts w:ascii="Garamond" w:eastAsia="Garamond" w:hAnsi="Garamond"/>
                          <w:i/>
                          <w:color w:val="000000"/>
                          <w:spacing w:val="4"/>
                          <w:sz w:val="18"/>
                          <w:szCs w:val="18"/>
                          <w:lang w:val="de-DE"/>
                        </w:rPr>
                        <w:t>Proslogion</w:t>
                      </w:r>
                      <w:proofErr w:type="spellEnd"/>
                      <w:r>
                        <w:rPr>
                          <w:rFonts w:ascii="Garamond" w:eastAsia="Garamond" w:hAnsi="Garamond"/>
                          <w:i/>
                          <w:color w:val="000000"/>
                          <w:spacing w:val="4"/>
                          <w:sz w:val="18"/>
                          <w:szCs w:val="18"/>
                          <w:lang w:val="de-DE"/>
                        </w:rPr>
                        <w:t xml:space="preserve">), 2. </w:t>
                      </w:r>
                      <w:r>
                        <w:rPr>
                          <w:rFonts w:ascii="Garamond" w:eastAsia="Garamond" w:hAnsi="Garamond"/>
                          <w:color w:val="000000"/>
                          <w:spacing w:val="4"/>
                          <w:sz w:val="18"/>
                          <w:szCs w:val="18"/>
                          <w:lang w:val="de-DE"/>
                        </w:rPr>
                        <w:t xml:space="preserve">Kapitel II-III. In: </w:t>
                      </w:r>
                      <w:proofErr w:type="spellStart"/>
                      <w:r>
                        <w:rPr>
                          <w:rFonts w:ascii="Garamond" w:eastAsia="Garamond" w:hAnsi="Garamond"/>
                          <w:color w:val="000000"/>
                          <w:spacing w:val="4"/>
                          <w:sz w:val="18"/>
                          <w:szCs w:val="18"/>
                          <w:lang w:val="de-DE"/>
                        </w:rPr>
                        <w:t>Anselmi</w:t>
                      </w:r>
                      <w:proofErr w:type="spellEnd"/>
                      <w:r>
                        <w:rPr>
                          <w:rFonts w:ascii="Garamond" w:eastAsia="Garamond" w:hAnsi="Garamond"/>
                          <w:color w:val="000000"/>
                          <w:spacing w:val="4"/>
                          <w:sz w:val="18"/>
                          <w:szCs w:val="18"/>
                          <w:lang w:val="de-DE"/>
                        </w:rPr>
                        <w:t xml:space="preserve"> Opera </w:t>
                      </w:r>
                      <w:proofErr w:type="spellStart"/>
                      <w:r>
                        <w:rPr>
                          <w:rFonts w:ascii="Garamond" w:eastAsia="Garamond" w:hAnsi="Garamond"/>
                          <w:color w:val="000000"/>
                          <w:spacing w:val="4"/>
                          <w:sz w:val="18"/>
                          <w:szCs w:val="18"/>
                          <w:lang w:val="de-DE"/>
                        </w:rPr>
                        <w:t>Omnia</w:t>
                      </w:r>
                      <w:proofErr w:type="spellEnd"/>
                      <w:r>
                        <w:rPr>
                          <w:rFonts w:ascii="Garamond" w:eastAsia="Garamond" w:hAnsi="Garamond"/>
                          <w:color w:val="000000"/>
                          <w:spacing w:val="4"/>
                          <w:sz w:val="18"/>
                          <w:szCs w:val="18"/>
                          <w:lang w:val="de-DE"/>
                        </w:rPr>
                        <w:t xml:space="preserve">. Hrsg. v. F. S. Schmitt. </w:t>
                      </w:r>
                      <w:proofErr w:type="spellStart"/>
                      <w:r>
                        <w:rPr>
                          <w:rFonts w:ascii="Garamond" w:eastAsia="Garamond" w:hAnsi="Garamond"/>
                          <w:color w:val="000000"/>
                          <w:spacing w:val="4"/>
                          <w:sz w:val="18"/>
                          <w:szCs w:val="18"/>
                          <w:lang w:val="de-DE"/>
                        </w:rPr>
                        <w:t>Bd</w:t>
                      </w:r>
                      <w:proofErr w:type="spellEnd"/>
                      <w:r>
                        <w:rPr>
                          <w:rFonts w:ascii="Garamond" w:eastAsia="Garamond" w:hAnsi="Garamond"/>
                          <w:color w:val="000000"/>
                          <w:spacing w:val="4"/>
                          <w:sz w:val="18"/>
                          <w:szCs w:val="18"/>
                          <w:lang w:val="de-DE"/>
                        </w:rPr>
                        <w:t xml:space="preserve"> I. Stuttgart / Bad  </w:t>
                      </w:r>
                      <w:proofErr w:type="spellStart"/>
                      <w:r>
                        <w:rPr>
                          <w:rFonts w:ascii="Garamond" w:eastAsia="Garamond" w:hAnsi="Garamond"/>
                          <w:color w:val="000000"/>
                          <w:spacing w:val="4"/>
                          <w:sz w:val="18"/>
                          <w:szCs w:val="18"/>
                          <w:lang w:val="de-DE"/>
                        </w:rPr>
                        <w:t>Canstatt</w:t>
                      </w:r>
                      <w:proofErr w:type="spellEnd"/>
                      <w:r>
                        <w:rPr>
                          <w:rFonts w:ascii="Garamond" w:eastAsia="Garamond" w:hAnsi="Garamond"/>
                          <w:color w:val="000000"/>
                          <w:spacing w:val="4"/>
                          <w:sz w:val="18"/>
                          <w:szCs w:val="18"/>
                          <w:lang w:val="de-DE"/>
                        </w:rPr>
                        <w:t xml:space="preserve"> 1968, S. 101 f. Aus dem Lat. übers. von Guido Kreis und Christian Rode. </w:t>
                      </w:r>
                    </w:p>
                    <w:p w:rsidR="005A0625" w:rsidRDefault="005A0625"/>
                  </w:txbxContent>
                </v:textbox>
              </v:shape>
            </w:pict>
          </mc:Fallback>
        </mc:AlternateContent>
      </w:r>
    </w:p>
    <w:p w:rsidR="005A0625" w:rsidRDefault="005A0625" w:rsidP="002C1C11">
      <w:pPr>
        <w:pStyle w:val="KeinLeerraum"/>
        <w:spacing w:after="60"/>
        <w:jc w:val="both"/>
        <w:rPr>
          <w:i/>
        </w:rPr>
      </w:pPr>
    </w:p>
    <w:p w:rsidR="005A0625" w:rsidRDefault="005A0625" w:rsidP="002C1C11">
      <w:pPr>
        <w:pStyle w:val="KeinLeerraum"/>
        <w:spacing w:after="60"/>
        <w:jc w:val="both"/>
        <w:rPr>
          <w:i/>
        </w:rPr>
      </w:pPr>
    </w:p>
    <w:p w:rsidR="005A0625" w:rsidRDefault="005A0625" w:rsidP="002C1C11">
      <w:pPr>
        <w:pStyle w:val="KeinLeerraum"/>
        <w:spacing w:after="60"/>
        <w:jc w:val="both"/>
        <w:rPr>
          <w:i/>
        </w:rPr>
      </w:pPr>
    </w:p>
    <w:p w:rsidR="002C1C11" w:rsidRPr="00514AB2" w:rsidRDefault="002C1C11" w:rsidP="00514AB2">
      <w:pPr>
        <w:pStyle w:val="Listenabsatz"/>
        <w:numPr>
          <w:ilvl w:val="0"/>
          <w:numId w:val="1"/>
        </w:numPr>
        <w:spacing w:before="120" w:after="60" w:line="240" w:lineRule="exact"/>
        <w:ind w:left="334" w:hanging="357"/>
        <w:contextualSpacing w:val="0"/>
        <w:textAlignment w:val="baseline"/>
        <w:rPr>
          <w:rFonts w:ascii="Arial" w:eastAsia="Garamond" w:hAnsi="Arial" w:cs="Arial"/>
          <w:color w:val="000000"/>
          <w:spacing w:val="4"/>
          <w:lang w:val="de-DE"/>
        </w:rPr>
      </w:pPr>
      <w:r w:rsidRPr="00514AB2">
        <w:rPr>
          <w:rFonts w:ascii="Arial" w:eastAsia="Garamond" w:hAnsi="Arial" w:cs="Arial"/>
          <w:color w:val="000000"/>
          <w:spacing w:val="4"/>
          <w:lang w:val="de-DE"/>
        </w:rPr>
        <w:t>Analysieren Sie die gedankliche Abfolge des Textes. Teilen Sie dazu den Text in fünf Sinnabschnitte ein und formulieren Sie für diese jeweils eine Überschrift, die sowohl den argumentativen</w:t>
      </w:r>
      <w:r w:rsidR="00341761">
        <w:rPr>
          <w:rFonts w:ascii="Arial" w:eastAsia="Garamond" w:hAnsi="Arial" w:cs="Arial"/>
          <w:color w:val="000000"/>
          <w:spacing w:val="4"/>
          <w:lang w:val="de-DE"/>
        </w:rPr>
        <w:t xml:space="preserve"> </w:t>
      </w:r>
      <w:r w:rsidRPr="00514AB2">
        <w:rPr>
          <w:rFonts w:ascii="Arial" w:eastAsia="Garamond" w:hAnsi="Arial" w:cs="Arial"/>
          <w:color w:val="000000"/>
          <w:spacing w:val="4"/>
          <w:lang w:val="de-DE"/>
        </w:rPr>
        <w:t xml:space="preserve">Stellenwert des Absatzes als auch seinen Inhalt </w:t>
      </w:r>
      <w:r w:rsidR="0080213E" w:rsidRPr="00514AB2">
        <w:rPr>
          <w:rFonts w:ascii="Arial" w:eastAsia="Garamond" w:hAnsi="Arial" w:cs="Arial"/>
          <w:color w:val="000000"/>
          <w:spacing w:val="4"/>
          <w:lang w:val="de-DE"/>
        </w:rPr>
        <w:t>darstellt</w:t>
      </w:r>
      <w:r w:rsidRPr="00514AB2">
        <w:rPr>
          <w:rFonts w:ascii="Arial" w:eastAsia="Garamond" w:hAnsi="Arial" w:cs="Arial"/>
          <w:color w:val="000000"/>
          <w:spacing w:val="4"/>
          <w:lang w:val="de-DE"/>
        </w:rPr>
        <w:t xml:space="preserve">. </w:t>
      </w:r>
    </w:p>
    <w:p w:rsidR="00F43DD9" w:rsidRPr="004C072F" w:rsidRDefault="002C1C11" w:rsidP="004C072F">
      <w:pPr>
        <w:spacing w:after="60"/>
        <w:ind w:left="330"/>
        <w:textAlignment w:val="baseline"/>
        <w:rPr>
          <w:rFonts w:ascii="Arial" w:eastAsia="Garamond" w:hAnsi="Arial" w:cs="Arial"/>
          <w:color w:val="000000"/>
          <w:spacing w:val="4"/>
          <w:sz w:val="20"/>
          <w:szCs w:val="20"/>
          <w:lang w:val="de-DE"/>
        </w:rPr>
      </w:pPr>
      <w:r w:rsidRPr="004C072F">
        <w:rPr>
          <w:rFonts w:ascii="Arial" w:eastAsia="Garamond" w:hAnsi="Arial" w:cs="Arial"/>
          <w:color w:val="000000"/>
          <w:spacing w:val="4"/>
          <w:sz w:val="20"/>
          <w:szCs w:val="20"/>
          <w:lang w:val="de-DE"/>
        </w:rPr>
        <w:t xml:space="preserve">(Bei der Analyse </w:t>
      </w:r>
      <w:r w:rsidR="004C072F" w:rsidRPr="004C072F">
        <w:rPr>
          <w:rFonts w:ascii="Arial" w:eastAsia="Garamond" w:hAnsi="Arial" w:cs="Arial"/>
          <w:color w:val="000000"/>
          <w:spacing w:val="4"/>
          <w:sz w:val="20"/>
          <w:szCs w:val="20"/>
          <w:lang w:val="de-DE"/>
        </w:rPr>
        <w:t xml:space="preserve">können </w:t>
      </w:r>
      <w:r w:rsidRPr="004C072F">
        <w:rPr>
          <w:rFonts w:ascii="Arial" w:eastAsia="Garamond" w:hAnsi="Arial" w:cs="Arial"/>
          <w:color w:val="000000"/>
          <w:spacing w:val="4"/>
          <w:sz w:val="20"/>
          <w:szCs w:val="20"/>
          <w:lang w:val="de-DE"/>
        </w:rPr>
        <w:t>Sie sich auf den ersten Absatz konzentrieren, der letzte Absatz kann als „</w:t>
      </w:r>
      <w:proofErr w:type="spellStart"/>
      <w:r w:rsidRPr="004C072F">
        <w:rPr>
          <w:rFonts w:ascii="Arial" w:eastAsia="Garamond" w:hAnsi="Arial" w:cs="Arial"/>
          <w:color w:val="000000"/>
          <w:spacing w:val="4"/>
          <w:sz w:val="20"/>
          <w:szCs w:val="20"/>
          <w:lang w:val="de-DE"/>
        </w:rPr>
        <w:t>additum</w:t>
      </w:r>
      <w:proofErr w:type="spellEnd"/>
      <w:r w:rsidRPr="004C072F">
        <w:rPr>
          <w:rFonts w:ascii="Arial" w:eastAsia="Garamond" w:hAnsi="Arial" w:cs="Arial"/>
          <w:color w:val="000000"/>
          <w:spacing w:val="4"/>
          <w:sz w:val="20"/>
          <w:szCs w:val="20"/>
          <w:lang w:val="de-DE"/>
        </w:rPr>
        <w:t>“ von Schnelleren bzw. Leistungsstärkeren erarbeitet und im Kurs präsentiert werden.</w:t>
      </w:r>
      <w:r w:rsidR="004C072F" w:rsidRPr="004C072F">
        <w:rPr>
          <w:rFonts w:ascii="Arial" w:eastAsia="Garamond" w:hAnsi="Arial" w:cs="Arial"/>
          <w:color w:val="000000"/>
          <w:spacing w:val="4"/>
          <w:sz w:val="20"/>
          <w:szCs w:val="20"/>
          <w:lang w:val="de-DE"/>
        </w:rPr>
        <w:t xml:space="preserve"> Bei Verständnisproblemen können Sie auf Alfred Jules </w:t>
      </w:r>
      <w:proofErr w:type="spellStart"/>
      <w:r w:rsidR="004C072F" w:rsidRPr="004C072F">
        <w:rPr>
          <w:rFonts w:ascii="Arial" w:eastAsia="Garamond" w:hAnsi="Arial" w:cs="Arial"/>
          <w:color w:val="000000"/>
          <w:spacing w:val="4"/>
          <w:sz w:val="20"/>
          <w:szCs w:val="20"/>
          <w:lang w:val="de-DE"/>
        </w:rPr>
        <w:t>Ayers</w:t>
      </w:r>
      <w:proofErr w:type="spellEnd"/>
      <w:r w:rsidR="004C072F" w:rsidRPr="004C072F">
        <w:rPr>
          <w:rFonts w:ascii="Arial" w:eastAsia="Garamond" w:hAnsi="Arial" w:cs="Arial"/>
          <w:color w:val="000000"/>
          <w:spacing w:val="4"/>
          <w:sz w:val="20"/>
          <w:szCs w:val="20"/>
          <w:lang w:val="de-DE"/>
        </w:rPr>
        <w:t xml:space="preserve"> </w:t>
      </w:r>
      <w:r w:rsidR="00C818DE">
        <w:rPr>
          <w:rFonts w:ascii="Arial" w:eastAsia="Garamond" w:hAnsi="Arial" w:cs="Arial"/>
          <w:color w:val="000000"/>
          <w:spacing w:val="4"/>
          <w:sz w:val="20"/>
          <w:szCs w:val="20"/>
          <w:lang w:val="de-DE"/>
        </w:rPr>
        <w:t>Darstellung d</w:t>
      </w:r>
      <w:r w:rsidR="004C072F" w:rsidRPr="004C072F">
        <w:rPr>
          <w:rFonts w:ascii="Arial" w:eastAsia="Garamond" w:hAnsi="Arial" w:cs="Arial"/>
          <w:color w:val="000000"/>
          <w:spacing w:val="4"/>
          <w:sz w:val="20"/>
          <w:szCs w:val="20"/>
          <w:lang w:val="de-DE"/>
        </w:rPr>
        <w:t>es ontologischen B</w:t>
      </w:r>
      <w:r w:rsidR="004C072F" w:rsidRPr="004C072F">
        <w:rPr>
          <w:rFonts w:ascii="Arial" w:eastAsia="Garamond" w:hAnsi="Arial" w:cs="Arial"/>
          <w:color w:val="000000"/>
          <w:spacing w:val="4"/>
          <w:sz w:val="20"/>
          <w:szCs w:val="20"/>
          <w:lang w:val="de-DE"/>
        </w:rPr>
        <w:t>e</w:t>
      </w:r>
      <w:r w:rsidR="004C072F" w:rsidRPr="004C072F">
        <w:rPr>
          <w:rFonts w:ascii="Arial" w:eastAsia="Garamond" w:hAnsi="Arial" w:cs="Arial"/>
          <w:color w:val="000000"/>
          <w:spacing w:val="4"/>
          <w:sz w:val="20"/>
          <w:szCs w:val="20"/>
          <w:lang w:val="de-DE"/>
        </w:rPr>
        <w:t xml:space="preserve">weises zurückgreifen bzw. </w:t>
      </w:r>
      <w:r w:rsidR="00C818DE">
        <w:rPr>
          <w:rFonts w:ascii="Arial" w:eastAsia="Garamond" w:hAnsi="Arial" w:cs="Arial"/>
          <w:color w:val="000000"/>
          <w:spacing w:val="4"/>
          <w:sz w:val="20"/>
          <w:szCs w:val="20"/>
          <w:lang w:val="de-DE"/>
        </w:rPr>
        <w:t xml:space="preserve">abschließend </w:t>
      </w:r>
      <w:r w:rsidR="004C072F" w:rsidRPr="004C072F">
        <w:rPr>
          <w:rFonts w:ascii="Arial" w:eastAsia="Garamond" w:hAnsi="Arial" w:cs="Arial"/>
          <w:color w:val="000000"/>
          <w:spacing w:val="4"/>
          <w:sz w:val="20"/>
          <w:szCs w:val="20"/>
          <w:lang w:val="de-DE"/>
        </w:rPr>
        <w:t xml:space="preserve">Ihre Analyse mit </w:t>
      </w:r>
      <w:r w:rsidR="00C818DE">
        <w:rPr>
          <w:rFonts w:ascii="Arial" w:eastAsia="Garamond" w:hAnsi="Arial" w:cs="Arial"/>
          <w:color w:val="000000"/>
          <w:spacing w:val="4"/>
          <w:sz w:val="20"/>
          <w:szCs w:val="20"/>
          <w:lang w:val="de-DE"/>
        </w:rPr>
        <w:t xml:space="preserve">dieser </w:t>
      </w:r>
      <w:r w:rsidR="004C072F" w:rsidRPr="004C072F">
        <w:rPr>
          <w:rFonts w:ascii="Arial" w:eastAsia="Garamond" w:hAnsi="Arial" w:cs="Arial"/>
          <w:color w:val="000000"/>
          <w:spacing w:val="4"/>
          <w:sz w:val="20"/>
          <w:szCs w:val="20"/>
          <w:lang w:val="de-DE"/>
        </w:rPr>
        <w:t>vergleichen.</w:t>
      </w:r>
      <w:r w:rsidR="00F43DD9" w:rsidRPr="004C072F">
        <w:rPr>
          <w:rStyle w:val="Funotenzeichen"/>
          <w:rFonts w:ascii="Arial" w:eastAsia="Garamond" w:hAnsi="Arial" w:cs="Arial"/>
          <w:color w:val="000000"/>
          <w:spacing w:val="4"/>
          <w:sz w:val="20"/>
          <w:szCs w:val="20"/>
          <w:lang w:val="de-DE"/>
        </w:rPr>
        <w:footnoteReference w:id="1"/>
      </w:r>
      <w:r w:rsidR="004C072F" w:rsidRPr="004C072F">
        <w:rPr>
          <w:rFonts w:ascii="Arial" w:eastAsia="Garamond" w:hAnsi="Arial" w:cs="Arial"/>
          <w:color w:val="000000"/>
          <w:spacing w:val="4"/>
          <w:sz w:val="20"/>
          <w:szCs w:val="20"/>
          <w:lang w:val="de-DE"/>
        </w:rPr>
        <w:t>)</w:t>
      </w:r>
      <w:r w:rsidR="00F43DD9" w:rsidRPr="004C072F">
        <w:rPr>
          <w:rFonts w:ascii="Arial" w:eastAsia="Garamond" w:hAnsi="Arial" w:cs="Arial"/>
          <w:color w:val="000000"/>
          <w:spacing w:val="4"/>
          <w:sz w:val="20"/>
          <w:szCs w:val="20"/>
          <w:lang w:val="de-DE"/>
        </w:rPr>
        <w:t xml:space="preserve"> </w:t>
      </w:r>
    </w:p>
    <w:p w:rsidR="002C1C11" w:rsidRPr="00514AB2" w:rsidRDefault="002C1C11" w:rsidP="00F43DD9">
      <w:pPr>
        <w:pStyle w:val="Listenabsatz"/>
        <w:spacing w:after="60" w:line="240" w:lineRule="exact"/>
        <w:ind w:left="340"/>
        <w:contextualSpacing w:val="0"/>
        <w:textAlignment w:val="baseline"/>
        <w:rPr>
          <w:rFonts w:ascii="Arial" w:eastAsia="Garamond" w:hAnsi="Arial" w:cs="Arial"/>
          <w:color w:val="000000"/>
          <w:spacing w:val="4"/>
          <w:lang w:val="de-DE"/>
        </w:rPr>
      </w:pPr>
      <w:r w:rsidRPr="00514AB2">
        <w:rPr>
          <w:rFonts w:ascii="Arial" w:eastAsia="Garamond" w:hAnsi="Arial" w:cs="Arial"/>
          <w:color w:val="000000"/>
          <w:spacing w:val="4"/>
          <w:lang w:val="de-DE"/>
        </w:rPr>
        <w:t>Stellen Sie den Argumentationsgang des Textes in diskursiver Form struk</w:t>
      </w:r>
      <w:r w:rsidR="0080213E" w:rsidRPr="00514AB2">
        <w:rPr>
          <w:rFonts w:ascii="Arial" w:eastAsia="Garamond" w:hAnsi="Arial" w:cs="Arial"/>
          <w:color w:val="000000"/>
          <w:spacing w:val="4"/>
          <w:lang w:val="de-DE"/>
        </w:rPr>
        <w:t>t</w:t>
      </w:r>
      <w:r w:rsidR="0004786D">
        <w:rPr>
          <w:rFonts w:ascii="Arial" w:eastAsia="Garamond" w:hAnsi="Arial" w:cs="Arial"/>
          <w:color w:val="000000"/>
          <w:spacing w:val="4"/>
          <w:lang w:val="de-DE"/>
        </w:rPr>
        <w:t xml:space="preserve">uriert dar und vergleichen Sie diesen mit Ihrem eigenen Beweisversuch. </w:t>
      </w:r>
    </w:p>
    <w:p w:rsidR="002C1C11" w:rsidRPr="00514AB2" w:rsidRDefault="002C1C11" w:rsidP="00514AB2">
      <w:pPr>
        <w:pStyle w:val="Listenabsatz"/>
        <w:numPr>
          <w:ilvl w:val="0"/>
          <w:numId w:val="1"/>
        </w:numPr>
        <w:spacing w:after="240" w:line="240" w:lineRule="exact"/>
        <w:ind w:left="334" w:hanging="357"/>
        <w:contextualSpacing w:val="0"/>
        <w:textAlignment w:val="baseline"/>
        <w:rPr>
          <w:rFonts w:ascii="Arial" w:eastAsia="Garamond" w:hAnsi="Arial" w:cs="Arial"/>
          <w:color w:val="000000"/>
          <w:spacing w:val="4"/>
          <w:lang w:val="de-DE"/>
        </w:rPr>
      </w:pPr>
      <w:r w:rsidRPr="00514AB2">
        <w:rPr>
          <w:rFonts w:ascii="Arial" w:eastAsia="Garamond" w:hAnsi="Arial" w:cs="Arial"/>
          <w:color w:val="000000"/>
          <w:spacing w:val="4"/>
          <w:lang w:val="de-DE"/>
        </w:rPr>
        <w:t xml:space="preserve">Beurteilen Sie die innere Stimmigkeit des Beweises und unterscheiden Sie zu diesem Zweck </w:t>
      </w:r>
      <w:r w:rsidR="00564638" w:rsidRPr="00514AB2">
        <w:rPr>
          <w:rFonts w:ascii="Arial" w:eastAsia="Garamond" w:hAnsi="Arial" w:cs="Arial"/>
          <w:color w:val="000000"/>
          <w:spacing w:val="4"/>
          <w:lang w:val="de-DE"/>
        </w:rPr>
        <w:t xml:space="preserve">seinen </w:t>
      </w:r>
      <w:r w:rsidRPr="00514AB2">
        <w:rPr>
          <w:rFonts w:ascii="Arial" w:eastAsia="Garamond" w:hAnsi="Arial" w:cs="Arial"/>
          <w:color w:val="000000"/>
          <w:spacing w:val="4"/>
          <w:lang w:val="de-DE"/>
        </w:rPr>
        <w:t xml:space="preserve">Ausgangspunkt </w:t>
      </w:r>
      <w:r w:rsidR="0083044C">
        <w:rPr>
          <w:rFonts w:ascii="Arial" w:eastAsia="Garamond" w:hAnsi="Arial" w:cs="Arial"/>
          <w:color w:val="000000"/>
          <w:spacing w:val="4"/>
          <w:lang w:val="de-DE"/>
        </w:rPr>
        <w:t xml:space="preserve">(Voraussetzung) </w:t>
      </w:r>
      <w:r w:rsidRPr="00514AB2">
        <w:rPr>
          <w:rFonts w:ascii="Arial" w:eastAsia="Garamond" w:hAnsi="Arial" w:cs="Arial"/>
          <w:color w:val="000000"/>
          <w:spacing w:val="4"/>
          <w:lang w:val="de-DE"/>
        </w:rPr>
        <w:t>vo</w:t>
      </w:r>
      <w:r w:rsidR="0083044C">
        <w:rPr>
          <w:rFonts w:ascii="Arial" w:eastAsia="Garamond" w:hAnsi="Arial" w:cs="Arial"/>
          <w:color w:val="000000"/>
          <w:spacing w:val="4"/>
          <w:lang w:val="de-DE"/>
        </w:rPr>
        <w:t>n seinem eigentlichen Gang (Schluss)</w:t>
      </w:r>
      <w:r w:rsidRPr="00514AB2">
        <w:rPr>
          <w:rFonts w:ascii="Arial" w:eastAsia="Garamond" w:hAnsi="Arial" w:cs="Arial"/>
          <w:color w:val="000000"/>
          <w:spacing w:val="4"/>
          <w:lang w:val="de-DE"/>
        </w:rPr>
        <w:t xml:space="preserve">. </w:t>
      </w:r>
    </w:p>
    <w:p w:rsidR="005A0625" w:rsidRDefault="005A0625" w:rsidP="00F2384F">
      <w:pPr>
        <w:spacing w:before="60" w:after="60" w:line="240" w:lineRule="exact"/>
        <w:textAlignment w:val="baseline"/>
        <w:rPr>
          <w:rFonts w:ascii="Arial" w:eastAsia="Garamond" w:hAnsi="Arial" w:cs="Arial"/>
          <w:b/>
          <w:color w:val="000000"/>
          <w:spacing w:val="4"/>
          <w:sz w:val="24"/>
          <w:szCs w:val="24"/>
          <w:lang w:val="de-DE"/>
        </w:rPr>
      </w:pPr>
    </w:p>
    <w:p w:rsidR="00514AB2" w:rsidRPr="00514AB2" w:rsidRDefault="00514AB2" w:rsidP="00F2384F">
      <w:pPr>
        <w:spacing w:before="60" w:after="60" w:line="240" w:lineRule="exact"/>
        <w:textAlignment w:val="baseline"/>
        <w:rPr>
          <w:rFonts w:ascii="Arial" w:eastAsia="Garamond" w:hAnsi="Arial" w:cs="Arial"/>
          <w:color w:val="000000"/>
          <w:spacing w:val="4"/>
          <w:sz w:val="24"/>
          <w:szCs w:val="24"/>
          <w:lang w:val="de-DE"/>
        </w:rPr>
      </w:pPr>
      <w:proofErr w:type="spellStart"/>
      <w:r w:rsidRPr="00514AB2">
        <w:rPr>
          <w:rFonts w:ascii="Arial" w:eastAsia="Garamond" w:hAnsi="Arial" w:cs="Arial"/>
          <w:b/>
          <w:color w:val="000000"/>
          <w:spacing w:val="4"/>
          <w:sz w:val="24"/>
          <w:szCs w:val="24"/>
          <w:lang w:val="de-DE"/>
        </w:rPr>
        <w:t>Gaunilo</w:t>
      </w:r>
      <w:proofErr w:type="spellEnd"/>
      <w:r w:rsidRPr="00514AB2">
        <w:rPr>
          <w:rFonts w:ascii="Arial" w:eastAsia="Garamond" w:hAnsi="Arial" w:cs="Arial"/>
          <w:b/>
          <w:color w:val="000000"/>
          <w:spacing w:val="4"/>
          <w:sz w:val="24"/>
          <w:szCs w:val="24"/>
          <w:lang w:val="de-DE"/>
        </w:rPr>
        <w:t xml:space="preserve"> von </w:t>
      </w:r>
      <w:proofErr w:type="spellStart"/>
      <w:r w:rsidRPr="00514AB2">
        <w:rPr>
          <w:rFonts w:ascii="Arial" w:eastAsia="Garamond" w:hAnsi="Arial" w:cs="Arial"/>
          <w:b/>
          <w:color w:val="000000"/>
          <w:spacing w:val="10"/>
          <w:sz w:val="24"/>
          <w:szCs w:val="24"/>
          <w:lang w:val="de-DE"/>
        </w:rPr>
        <w:t>Marmoutiers</w:t>
      </w:r>
      <w:proofErr w:type="spellEnd"/>
      <w:r w:rsidRPr="00514AB2">
        <w:rPr>
          <w:rFonts w:ascii="Arial" w:eastAsia="Garamond" w:hAnsi="Arial" w:cs="Arial"/>
          <w:b/>
          <w:color w:val="000000"/>
          <w:spacing w:val="10"/>
          <w:sz w:val="24"/>
          <w:szCs w:val="24"/>
          <w:lang w:val="de-DE"/>
        </w:rPr>
        <w:t>: Was man anstelle des Toren hierauf erwidern könnte</w:t>
      </w:r>
    </w:p>
    <w:p w:rsidR="00F2384F" w:rsidRPr="001E7E69" w:rsidRDefault="00F2384F" w:rsidP="00F2384F">
      <w:pPr>
        <w:spacing w:before="60" w:after="60" w:line="240" w:lineRule="exact"/>
        <w:textAlignment w:val="baseline"/>
        <w:rPr>
          <w:rFonts w:eastAsia="Garamond"/>
          <w:i/>
          <w:color w:val="000000"/>
          <w:spacing w:val="4"/>
          <w:lang w:val="de-DE"/>
        </w:rPr>
      </w:pPr>
      <w:r w:rsidRPr="001E7E69">
        <w:rPr>
          <w:rFonts w:eastAsia="Garamond"/>
          <w:i/>
          <w:color w:val="000000"/>
          <w:spacing w:val="4"/>
          <w:lang w:val="de-DE"/>
        </w:rPr>
        <w:t xml:space="preserve">Gegen Anselms Beweis formulierte der Zeitgenosse und Mönch </w:t>
      </w:r>
      <w:proofErr w:type="spellStart"/>
      <w:r w:rsidRPr="001E7E69">
        <w:rPr>
          <w:rFonts w:eastAsia="Garamond"/>
          <w:b/>
          <w:i/>
          <w:color w:val="000000"/>
          <w:spacing w:val="4"/>
          <w:lang w:val="de-DE"/>
        </w:rPr>
        <w:t>Gaunilo</w:t>
      </w:r>
      <w:proofErr w:type="spellEnd"/>
      <w:r w:rsidRPr="001E7E69">
        <w:rPr>
          <w:rFonts w:eastAsia="Garamond"/>
          <w:b/>
          <w:i/>
          <w:color w:val="000000"/>
          <w:spacing w:val="4"/>
          <w:lang w:val="de-DE"/>
        </w:rPr>
        <w:t xml:space="preserve"> von </w:t>
      </w:r>
      <w:proofErr w:type="spellStart"/>
      <w:r w:rsidRPr="001E7E69">
        <w:rPr>
          <w:rFonts w:eastAsia="Garamond"/>
          <w:b/>
          <w:i/>
          <w:color w:val="000000"/>
          <w:spacing w:val="10"/>
          <w:lang w:val="de-DE"/>
        </w:rPr>
        <w:t>Marmoutiers</w:t>
      </w:r>
      <w:proofErr w:type="spellEnd"/>
      <w:r w:rsidRPr="001E7E69">
        <w:rPr>
          <w:rFonts w:eastAsia="Garamond"/>
          <w:i/>
          <w:color w:val="000000"/>
          <w:spacing w:val="10"/>
          <w:lang w:val="de-DE"/>
        </w:rPr>
        <w:t xml:space="preserve"> </w:t>
      </w:r>
      <w:r>
        <w:rPr>
          <w:rFonts w:eastAsia="Garamond"/>
          <w:i/>
          <w:color w:val="000000"/>
          <w:spacing w:val="10"/>
          <w:lang w:val="de-DE"/>
        </w:rPr>
        <w:t xml:space="preserve">einen </w:t>
      </w:r>
      <w:r w:rsidRPr="001E7E69">
        <w:rPr>
          <w:rFonts w:eastAsia="Garamond"/>
          <w:i/>
          <w:color w:val="000000"/>
          <w:spacing w:val="10"/>
          <w:lang w:val="de-DE"/>
        </w:rPr>
        <w:t>viel diskutierte</w:t>
      </w:r>
      <w:r>
        <w:rPr>
          <w:rFonts w:eastAsia="Garamond"/>
          <w:i/>
          <w:color w:val="000000"/>
          <w:spacing w:val="10"/>
          <w:lang w:val="de-DE"/>
        </w:rPr>
        <w:t>n</w:t>
      </w:r>
      <w:r w:rsidRPr="001E7E69">
        <w:rPr>
          <w:rFonts w:eastAsia="Garamond"/>
          <w:i/>
          <w:color w:val="000000"/>
          <w:spacing w:val="10"/>
          <w:lang w:val="de-DE"/>
        </w:rPr>
        <w:t xml:space="preserve"> Einw</w:t>
      </w:r>
      <w:r>
        <w:rPr>
          <w:rFonts w:eastAsia="Garamond"/>
          <w:i/>
          <w:color w:val="000000"/>
          <w:spacing w:val="10"/>
          <w:lang w:val="de-DE"/>
        </w:rPr>
        <w:t>a</w:t>
      </w:r>
      <w:r w:rsidRPr="001E7E69">
        <w:rPr>
          <w:rFonts w:eastAsia="Garamond"/>
          <w:i/>
          <w:color w:val="000000"/>
          <w:spacing w:val="10"/>
          <w:lang w:val="de-DE"/>
        </w:rPr>
        <w:t xml:space="preserve">nd: </w:t>
      </w:r>
      <w:r w:rsidRPr="001E7E69">
        <w:rPr>
          <w:rFonts w:ascii="Garamond" w:eastAsia="Garamond" w:hAnsi="Garamond"/>
          <w:color w:val="000000"/>
          <w:spacing w:val="10"/>
          <w:lang w:val="de-DE"/>
        </w:rPr>
        <w:t xml:space="preserve"> </w:t>
      </w:r>
      <w:r w:rsidRPr="001E7E69">
        <w:rPr>
          <w:rFonts w:eastAsia="Garamond"/>
          <w:i/>
          <w:color w:val="000000"/>
          <w:spacing w:val="4"/>
          <w:lang w:val="de-DE"/>
        </w:rPr>
        <w:t xml:space="preserve"> </w:t>
      </w:r>
    </w:p>
    <w:p w:rsidR="005A0625" w:rsidRDefault="005A0625" w:rsidP="00F2384F">
      <w:pPr>
        <w:pStyle w:val="KeinLeerraum"/>
      </w:pPr>
      <w:r>
        <w:rPr>
          <w:noProof/>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149753</wp:posOffset>
                </wp:positionV>
                <wp:extent cx="5904963" cy="566670"/>
                <wp:effectExtent l="0" t="0" r="19685" b="24130"/>
                <wp:wrapNone/>
                <wp:docPr id="2" name="Textfeld 2"/>
                <wp:cNvGraphicFramePr/>
                <a:graphic xmlns:a="http://schemas.openxmlformats.org/drawingml/2006/main">
                  <a:graphicData uri="http://schemas.microsoft.com/office/word/2010/wordprocessingShape">
                    <wps:wsp>
                      <wps:cNvSpPr txBox="1"/>
                      <wps:spPr>
                        <a:xfrm>
                          <a:off x="0" y="0"/>
                          <a:ext cx="5904963" cy="566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0625" w:rsidRDefault="005A0625" w:rsidP="005A0625">
                            <w:pPr>
                              <w:pStyle w:val="KeinLeerraum"/>
                              <w:spacing w:after="120"/>
                              <w:rPr>
                                <w:sz w:val="18"/>
                                <w:szCs w:val="18"/>
                              </w:rPr>
                            </w:pPr>
                            <w:proofErr w:type="spellStart"/>
                            <w:r>
                              <w:rPr>
                                <w:spacing w:val="10"/>
                                <w:sz w:val="18"/>
                                <w:szCs w:val="18"/>
                              </w:rPr>
                              <w:t>Gaunilo</w:t>
                            </w:r>
                            <w:proofErr w:type="spellEnd"/>
                            <w:r>
                              <w:rPr>
                                <w:spacing w:val="10"/>
                                <w:sz w:val="18"/>
                                <w:szCs w:val="18"/>
                              </w:rPr>
                              <w:t xml:space="preserve"> von </w:t>
                            </w:r>
                            <w:proofErr w:type="spellStart"/>
                            <w:r>
                              <w:rPr>
                                <w:spacing w:val="10"/>
                                <w:sz w:val="18"/>
                                <w:szCs w:val="18"/>
                              </w:rPr>
                              <w:t>Marmoutiers</w:t>
                            </w:r>
                            <w:proofErr w:type="spellEnd"/>
                            <w:r>
                              <w:rPr>
                                <w:spacing w:val="10"/>
                                <w:sz w:val="18"/>
                                <w:szCs w:val="18"/>
                              </w:rPr>
                              <w:t xml:space="preserve">: Was man anstelle des Toren hierauf erwidern könnte </w:t>
                            </w:r>
                            <w:r>
                              <w:rPr>
                                <w:i/>
                                <w:spacing w:val="10"/>
                                <w:sz w:val="18"/>
                                <w:szCs w:val="18"/>
                              </w:rPr>
                              <w:t xml:space="preserve">(Pro </w:t>
                            </w:r>
                            <w:proofErr w:type="spellStart"/>
                            <w:r>
                              <w:rPr>
                                <w:i/>
                                <w:spacing w:val="10"/>
                                <w:sz w:val="18"/>
                                <w:szCs w:val="18"/>
                              </w:rPr>
                              <w:t>insipiente</w:t>
                            </w:r>
                            <w:proofErr w:type="spellEnd"/>
                            <w:r>
                              <w:rPr>
                                <w:i/>
                                <w:spacing w:val="10"/>
                                <w:sz w:val="18"/>
                                <w:szCs w:val="18"/>
                              </w:rPr>
                              <w:t>).</w:t>
                            </w:r>
                            <w:r>
                              <w:rPr>
                                <w:sz w:val="18"/>
                                <w:szCs w:val="18"/>
                              </w:rPr>
                              <w:t xml:space="preserve"> In: </w:t>
                            </w:r>
                            <w:proofErr w:type="spellStart"/>
                            <w:r>
                              <w:rPr>
                                <w:sz w:val="18"/>
                                <w:szCs w:val="18"/>
                              </w:rPr>
                              <w:t>Anselmi</w:t>
                            </w:r>
                            <w:proofErr w:type="spellEnd"/>
                            <w:r>
                              <w:rPr>
                                <w:sz w:val="18"/>
                                <w:szCs w:val="18"/>
                              </w:rPr>
                              <w:t xml:space="preserve"> Opera </w:t>
                            </w:r>
                            <w:proofErr w:type="spellStart"/>
                            <w:r>
                              <w:rPr>
                                <w:sz w:val="18"/>
                                <w:szCs w:val="18"/>
                              </w:rPr>
                              <w:t>Omnia</w:t>
                            </w:r>
                            <w:proofErr w:type="spellEnd"/>
                            <w:r>
                              <w:rPr>
                                <w:sz w:val="18"/>
                                <w:szCs w:val="18"/>
                              </w:rPr>
                              <w:t xml:space="preserve">. Hrsg. V. F. S. Schmitt. </w:t>
                            </w:r>
                            <w:proofErr w:type="spellStart"/>
                            <w:r>
                              <w:rPr>
                                <w:sz w:val="18"/>
                                <w:szCs w:val="18"/>
                              </w:rPr>
                              <w:t>Bd</w:t>
                            </w:r>
                            <w:proofErr w:type="spellEnd"/>
                            <w:r>
                              <w:rPr>
                                <w:sz w:val="18"/>
                                <w:szCs w:val="18"/>
                              </w:rPr>
                              <w:t xml:space="preserve"> I. Stuttgart / Bad  </w:t>
                            </w:r>
                            <w:proofErr w:type="spellStart"/>
                            <w:r>
                              <w:rPr>
                                <w:sz w:val="18"/>
                                <w:szCs w:val="18"/>
                              </w:rPr>
                              <w:t>Canstatt</w:t>
                            </w:r>
                            <w:proofErr w:type="spellEnd"/>
                            <w:r>
                              <w:rPr>
                                <w:sz w:val="18"/>
                                <w:szCs w:val="18"/>
                              </w:rPr>
                              <w:t xml:space="preserve"> 1968, S. 125 – 129. Aus dem Lat. übers. von Guido Kreis und Christian Rode. </w:t>
                            </w:r>
                          </w:p>
                          <w:p w:rsidR="005A0625" w:rsidRDefault="005A06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 o:spid="_x0000_s1027" type="#_x0000_t202" style="position:absolute;margin-left:.55pt;margin-top:11.8pt;width:464.95pt;height:4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" fillcolor="white [3201]" strokeweight=".5pt">
                <v:textbox>
                  <w:txbxContent>
                    <w:p w:rsidR="005A0625" w:rsidRDefault="005A0625" w:rsidP="005A0625">
                      <w:pPr>
                        <w:pStyle w:val="KeinLeerraum"/>
                        <w:spacing w:after="120"/>
                        <w:rPr>
                          <w:sz w:val="18"/>
                          <w:szCs w:val="18"/>
                        </w:rPr>
                      </w:pPr>
                      <w:proofErr w:type="spellStart"/>
                      <w:r>
                        <w:rPr>
                          <w:spacing w:val="10"/>
                          <w:sz w:val="18"/>
                          <w:szCs w:val="18"/>
                        </w:rPr>
                        <w:t>Gaunilo</w:t>
                      </w:r>
                      <w:proofErr w:type="spellEnd"/>
                      <w:r>
                        <w:rPr>
                          <w:spacing w:val="10"/>
                          <w:sz w:val="18"/>
                          <w:szCs w:val="18"/>
                        </w:rPr>
                        <w:t xml:space="preserve"> von </w:t>
                      </w:r>
                      <w:proofErr w:type="spellStart"/>
                      <w:r>
                        <w:rPr>
                          <w:spacing w:val="10"/>
                          <w:sz w:val="18"/>
                          <w:szCs w:val="18"/>
                        </w:rPr>
                        <w:t>Marmoutiers</w:t>
                      </w:r>
                      <w:proofErr w:type="spellEnd"/>
                      <w:r>
                        <w:rPr>
                          <w:spacing w:val="10"/>
                          <w:sz w:val="18"/>
                          <w:szCs w:val="18"/>
                        </w:rPr>
                        <w:t xml:space="preserve">: Was man anstelle des Toren hierauf erwidern könnte </w:t>
                      </w:r>
                      <w:r>
                        <w:rPr>
                          <w:i/>
                          <w:spacing w:val="10"/>
                          <w:sz w:val="18"/>
                          <w:szCs w:val="18"/>
                        </w:rPr>
                        <w:t xml:space="preserve">(Pro </w:t>
                      </w:r>
                      <w:proofErr w:type="spellStart"/>
                      <w:r>
                        <w:rPr>
                          <w:i/>
                          <w:spacing w:val="10"/>
                          <w:sz w:val="18"/>
                          <w:szCs w:val="18"/>
                        </w:rPr>
                        <w:t>insipiente</w:t>
                      </w:r>
                      <w:proofErr w:type="spellEnd"/>
                      <w:r>
                        <w:rPr>
                          <w:i/>
                          <w:spacing w:val="10"/>
                          <w:sz w:val="18"/>
                          <w:szCs w:val="18"/>
                        </w:rPr>
                        <w:t>).</w:t>
                      </w:r>
                      <w:r>
                        <w:rPr>
                          <w:sz w:val="18"/>
                          <w:szCs w:val="18"/>
                        </w:rPr>
                        <w:t xml:space="preserve"> In: </w:t>
                      </w:r>
                      <w:proofErr w:type="spellStart"/>
                      <w:r>
                        <w:rPr>
                          <w:sz w:val="18"/>
                          <w:szCs w:val="18"/>
                        </w:rPr>
                        <w:t>Anselmi</w:t>
                      </w:r>
                      <w:proofErr w:type="spellEnd"/>
                      <w:r>
                        <w:rPr>
                          <w:sz w:val="18"/>
                          <w:szCs w:val="18"/>
                        </w:rPr>
                        <w:t xml:space="preserve"> Opera </w:t>
                      </w:r>
                      <w:proofErr w:type="spellStart"/>
                      <w:r>
                        <w:rPr>
                          <w:sz w:val="18"/>
                          <w:szCs w:val="18"/>
                        </w:rPr>
                        <w:t>Omnia</w:t>
                      </w:r>
                      <w:proofErr w:type="spellEnd"/>
                      <w:r>
                        <w:rPr>
                          <w:sz w:val="18"/>
                          <w:szCs w:val="18"/>
                        </w:rPr>
                        <w:t xml:space="preserve">. Hrsg. V. F. S. Schmitt. </w:t>
                      </w:r>
                      <w:proofErr w:type="spellStart"/>
                      <w:r>
                        <w:rPr>
                          <w:sz w:val="18"/>
                          <w:szCs w:val="18"/>
                        </w:rPr>
                        <w:t>Bd</w:t>
                      </w:r>
                      <w:proofErr w:type="spellEnd"/>
                      <w:r>
                        <w:rPr>
                          <w:sz w:val="18"/>
                          <w:szCs w:val="18"/>
                        </w:rPr>
                        <w:t xml:space="preserve"> I. Stuttgart / Bad  </w:t>
                      </w:r>
                      <w:proofErr w:type="spellStart"/>
                      <w:r>
                        <w:rPr>
                          <w:sz w:val="18"/>
                          <w:szCs w:val="18"/>
                        </w:rPr>
                        <w:t>Canstatt</w:t>
                      </w:r>
                      <w:proofErr w:type="spellEnd"/>
                      <w:r>
                        <w:rPr>
                          <w:sz w:val="18"/>
                          <w:szCs w:val="18"/>
                        </w:rPr>
                        <w:t xml:space="preserve"> 1968, S. 125 – 129. Aus dem Lat. übers. von Guido Kreis und Christian Rode. </w:t>
                      </w:r>
                    </w:p>
                    <w:p w:rsidR="005A0625" w:rsidRDefault="005A0625"/>
                  </w:txbxContent>
                </v:textbox>
              </v:shape>
            </w:pict>
          </mc:Fallback>
        </mc:AlternateContent>
      </w:r>
    </w:p>
    <w:p w:rsidR="005A0625" w:rsidRDefault="005A0625" w:rsidP="00F2384F">
      <w:pPr>
        <w:pStyle w:val="KeinLeerraum"/>
      </w:pPr>
    </w:p>
    <w:p w:rsidR="005A0625" w:rsidRDefault="005A0625" w:rsidP="00F2384F">
      <w:pPr>
        <w:pStyle w:val="KeinLeerraum"/>
      </w:pPr>
    </w:p>
    <w:p w:rsidR="005A0625" w:rsidRDefault="005A0625" w:rsidP="00F2384F">
      <w:pPr>
        <w:pStyle w:val="KeinLeerraum"/>
      </w:pPr>
    </w:p>
    <w:p w:rsidR="005A0625" w:rsidRDefault="005A0625" w:rsidP="00F2384F">
      <w:pPr>
        <w:pStyle w:val="KeinLeerraum"/>
      </w:pPr>
    </w:p>
    <w:p w:rsidR="00F2384F" w:rsidRPr="00514AB2" w:rsidRDefault="00F2384F" w:rsidP="00514AB2">
      <w:pPr>
        <w:pStyle w:val="Listenabsatz"/>
        <w:numPr>
          <w:ilvl w:val="0"/>
          <w:numId w:val="1"/>
        </w:numPr>
        <w:spacing w:before="120" w:after="240"/>
        <w:ind w:left="357" w:hanging="357"/>
        <w:contextualSpacing w:val="0"/>
        <w:textAlignment w:val="baseline"/>
        <w:rPr>
          <w:rFonts w:ascii="Arial" w:eastAsia="Garamond" w:hAnsi="Arial" w:cs="Arial"/>
          <w:color w:val="000000"/>
          <w:spacing w:val="4"/>
          <w:lang w:val="de-DE"/>
        </w:rPr>
      </w:pPr>
      <w:r w:rsidRPr="00514AB2">
        <w:rPr>
          <w:rFonts w:ascii="Arial" w:eastAsia="Garamond" w:hAnsi="Arial" w:cs="Arial"/>
          <w:color w:val="000000"/>
          <w:spacing w:val="4"/>
          <w:lang w:val="de-DE"/>
        </w:rPr>
        <w:t>Geben Sie die Grundgedanken des Einwandes in eigenen Worten und distanziert wieder und beurteilen Sie seine innere Stimmigkeit. (Hilfsfrage: Ist der Begriff von Gott im Hi</w:t>
      </w:r>
      <w:r w:rsidRPr="00514AB2">
        <w:rPr>
          <w:rFonts w:ascii="Arial" w:eastAsia="Garamond" w:hAnsi="Arial" w:cs="Arial"/>
          <w:color w:val="000000"/>
          <w:spacing w:val="4"/>
          <w:lang w:val="de-DE"/>
        </w:rPr>
        <w:t>n</w:t>
      </w:r>
      <w:r w:rsidRPr="00514AB2">
        <w:rPr>
          <w:rFonts w:ascii="Arial" w:eastAsia="Garamond" w:hAnsi="Arial" w:cs="Arial"/>
          <w:color w:val="000000"/>
          <w:spacing w:val="4"/>
          <w:lang w:val="de-DE"/>
        </w:rPr>
        <w:t xml:space="preserve">blick auf den Einschluss </w:t>
      </w:r>
      <w:r w:rsidR="000F51DC" w:rsidRPr="00514AB2">
        <w:rPr>
          <w:rFonts w:ascii="Arial" w:eastAsia="Garamond" w:hAnsi="Arial" w:cs="Arial"/>
          <w:color w:val="000000"/>
          <w:spacing w:val="4"/>
          <w:lang w:val="de-DE"/>
        </w:rPr>
        <w:t xml:space="preserve">des </w:t>
      </w:r>
      <w:r w:rsidRPr="00514AB2">
        <w:rPr>
          <w:rFonts w:ascii="Arial" w:eastAsia="Garamond" w:hAnsi="Arial" w:cs="Arial"/>
          <w:color w:val="000000"/>
          <w:spacing w:val="4"/>
          <w:lang w:val="de-DE"/>
        </w:rPr>
        <w:t>Prädikate</w:t>
      </w:r>
      <w:r w:rsidR="000F51DC" w:rsidRPr="00514AB2">
        <w:rPr>
          <w:rFonts w:ascii="Arial" w:eastAsia="Garamond" w:hAnsi="Arial" w:cs="Arial"/>
          <w:color w:val="000000"/>
          <w:spacing w:val="4"/>
          <w:lang w:val="de-DE"/>
        </w:rPr>
        <w:t xml:space="preserve">s der Existenz </w:t>
      </w:r>
      <w:r w:rsidRPr="00514AB2">
        <w:rPr>
          <w:rFonts w:ascii="Arial" w:eastAsia="Garamond" w:hAnsi="Arial" w:cs="Arial"/>
          <w:color w:val="000000"/>
          <w:spacing w:val="4"/>
          <w:lang w:val="de-DE"/>
        </w:rPr>
        <w:t>identisch mit dem einer vollko</w:t>
      </w:r>
      <w:r w:rsidRPr="00514AB2">
        <w:rPr>
          <w:rFonts w:ascii="Arial" w:eastAsia="Garamond" w:hAnsi="Arial" w:cs="Arial"/>
          <w:color w:val="000000"/>
          <w:spacing w:val="4"/>
          <w:lang w:val="de-DE"/>
        </w:rPr>
        <w:t>m</w:t>
      </w:r>
      <w:r w:rsidRPr="00514AB2">
        <w:rPr>
          <w:rFonts w:ascii="Arial" w:eastAsia="Garamond" w:hAnsi="Arial" w:cs="Arial"/>
          <w:color w:val="000000"/>
          <w:spacing w:val="4"/>
          <w:lang w:val="de-DE"/>
        </w:rPr>
        <w:t xml:space="preserve">menen Insel?) </w:t>
      </w:r>
    </w:p>
    <w:p w:rsidR="00514AB2" w:rsidRPr="001E7E69" w:rsidRDefault="00514AB2" w:rsidP="00514AB2">
      <w:pPr>
        <w:spacing w:after="40" w:line="240" w:lineRule="atLeast"/>
        <w:textAlignment w:val="baseline"/>
        <w:rPr>
          <w:rFonts w:ascii="Arial" w:eastAsia="Garamond" w:hAnsi="Arial" w:cs="Arial"/>
          <w:b/>
          <w:spacing w:val="4"/>
          <w:sz w:val="24"/>
          <w:szCs w:val="24"/>
          <w:lang w:val="de-DE"/>
        </w:rPr>
      </w:pPr>
      <w:r>
        <w:rPr>
          <w:rFonts w:ascii="Arial" w:eastAsia="Garamond" w:hAnsi="Arial" w:cs="Arial"/>
          <w:b/>
          <w:spacing w:val="4"/>
          <w:sz w:val="24"/>
          <w:szCs w:val="24"/>
          <w:lang w:val="de-DE"/>
        </w:rPr>
        <w:lastRenderedPageBreak/>
        <w:t xml:space="preserve">Immanuel </w:t>
      </w:r>
      <w:r w:rsidRPr="001E7E69">
        <w:rPr>
          <w:rFonts w:ascii="Arial" w:eastAsia="Garamond" w:hAnsi="Arial" w:cs="Arial"/>
          <w:b/>
          <w:spacing w:val="4"/>
          <w:sz w:val="24"/>
          <w:szCs w:val="24"/>
          <w:lang w:val="de-DE"/>
        </w:rPr>
        <w:t>Kant</w:t>
      </w:r>
      <w:r>
        <w:rPr>
          <w:rFonts w:ascii="Arial" w:eastAsia="Garamond" w:hAnsi="Arial" w:cs="Arial"/>
          <w:b/>
          <w:spacing w:val="4"/>
          <w:sz w:val="24"/>
          <w:szCs w:val="24"/>
          <w:lang w:val="de-DE"/>
        </w:rPr>
        <w:t>: Sein ist kein reales Prädikat</w:t>
      </w:r>
      <w:r w:rsidRPr="001E7E69">
        <w:rPr>
          <w:rFonts w:ascii="Arial" w:eastAsia="Garamond" w:hAnsi="Arial" w:cs="Arial"/>
          <w:b/>
          <w:spacing w:val="4"/>
          <w:sz w:val="24"/>
          <w:szCs w:val="24"/>
          <w:lang w:val="de-DE"/>
        </w:rPr>
        <w:t xml:space="preserve"> </w:t>
      </w:r>
    </w:p>
    <w:p w:rsidR="00514AB2" w:rsidRDefault="00514AB2" w:rsidP="00514AB2">
      <w:pPr>
        <w:spacing w:after="120" w:line="240" w:lineRule="atLeast"/>
        <w:jc w:val="both"/>
        <w:textAlignment w:val="baseline"/>
        <w:rPr>
          <w:rFonts w:eastAsia="Garamond"/>
          <w:i/>
          <w:spacing w:val="4"/>
          <w:lang w:val="de-DE"/>
        </w:rPr>
      </w:pPr>
      <w:r w:rsidRPr="001E7E69">
        <w:rPr>
          <w:rFonts w:eastAsia="Garamond"/>
          <w:i/>
          <w:spacing w:val="4"/>
          <w:lang w:val="de-DE"/>
        </w:rPr>
        <w:t>Am Ende des 18. Jahrhundert verfasste Immanuel Kant (1724 – 1805) in seinem Hauptwerk „Kritik der reinen Vernunft“ eine Kritik am ontologischen Gottesbeweis, den er in der Fassung von Desca</w:t>
      </w:r>
      <w:r w:rsidRPr="001E7E69">
        <w:rPr>
          <w:rFonts w:eastAsia="Garamond"/>
          <w:i/>
          <w:spacing w:val="4"/>
          <w:lang w:val="de-DE"/>
        </w:rPr>
        <w:t>r</w:t>
      </w:r>
      <w:r w:rsidRPr="001E7E69">
        <w:rPr>
          <w:rFonts w:eastAsia="Garamond"/>
          <w:i/>
          <w:spacing w:val="4"/>
          <w:lang w:val="de-DE"/>
        </w:rPr>
        <w:t>tes und Leibniz kannte</w:t>
      </w:r>
      <w:r w:rsidRPr="001E7E69">
        <w:rPr>
          <w:rFonts w:eastAsia="Garamond"/>
          <w:spacing w:val="4"/>
          <w:lang w:val="de-DE"/>
        </w:rPr>
        <w:t xml:space="preserve">. </w:t>
      </w:r>
      <w:r w:rsidRPr="001E7E69">
        <w:rPr>
          <w:rFonts w:eastAsia="Garamond"/>
          <w:i/>
          <w:spacing w:val="4"/>
          <w:lang w:val="de-DE"/>
        </w:rPr>
        <w:t>Diese Kritik gilt bis heute als unwiderlegt und sie schwächte die Überze</w:t>
      </w:r>
      <w:r w:rsidRPr="001E7E69">
        <w:rPr>
          <w:rFonts w:eastAsia="Garamond"/>
          <w:i/>
          <w:spacing w:val="4"/>
          <w:lang w:val="de-DE"/>
        </w:rPr>
        <w:t>u</w:t>
      </w:r>
      <w:r w:rsidRPr="001E7E69">
        <w:rPr>
          <w:rFonts w:eastAsia="Garamond"/>
          <w:i/>
          <w:spacing w:val="4"/>
          <w:lang w:val="de-DE"/>
        </w:rPr>
        <w:t xml:space="preserve">gungskraft des ontologischen Arguments nachhaltig. </w:t>
      </w:r>
    </w:p>
    <w:p w:rsidR="00433051" w:rsidRDefault="00433051" w:rsidP="00433051">
      <w:pPr>
        <w:pStyle w:val="KeinLeerraum"/>
        <w:jc w:val="both"/>
        <w:rPr>
          <w:rFonts w:eastAsia="PMingLiU"/>
          <w:i/>
        </w:rPr>
      </w:pPr>
      <w:r>
        <w:rPr>
          <w:i/>
        </w:rPr>
        <w:t xml:space="preserve">Sein </w:t>
      </w:r>
      <w:r>
        <w:t xml:space="preserve">ist offenbar kein reales Prädikat, d. i. ein Begriff von </w:t>
      </w:r>
      <w:proofErr w:type="spellStart"/>
      <w:proofErr w:type="gramStart"/>
      <w:r>
        <w:t>irgend etwas</w:t>
      </w:r>
      <w:proofErr w:type="spellEnd"/>
      <w:proofErr w:type="gramEnd"/>
      <w:r>
        <w:t>, was zu dem Begriffe eines Dinges hinzukommen könne. […]</w:t>
      </w:r>
    </w:p>
    <w:p w:rsidR="00433051" w:rsidRDefault="00433051" w:rsidP="00433051">
      <w:pPr>
        <w:pStyle w:val="KeinLeerraum"/>
        <w:spacing w:after="120"/>
        <w:jc w:val="both"/>
        <w:rPr>
          <w:spacing w:val="-2"/>
        </w:rPr>
      </w:pPr>
      <w:r>
        <w:rPr>
          <w:spacing w:val="-2"/>
        </w:rPr>
        <w:t>Im logischen Gebrauche ist es lediglich die Kopula</w:t>
      </w:r>
      <w:r>
        <w:rPr>
          <w:rStyle w:val="Funotenzeichen"/>
          <w:spacing w:val="-2"/>
        </w:rPr>
        <w:footnoteReference w:id="2"/>
      </w:r>
      <w:r>
        <w:rPr>
          <w:spacing w:val="-2"/>
        </w:rPr>
        <w:t xml:space="preserve"> eines Urteils. Der Satz: </w:t>
      </w:r>
      <w:r>
        <w:rPr>
          <w:i/>
          <w:spacing w:val="-2"/>
        </w:rPr>
        <w:t xml:space="preserve">Gott ist allmächtig, </w:t>
      </w:r>
      <w:r>
        <w:rPr>
          <w:spacing w:val="-2"/>
        </w:rPr>
        <w:t xml:space="preserve">enthält zwei Begriffe, die ihre Objekte haben: Gott und Allmacht; das Wörtchen: </w:t>
      </w:r>
      <w:r>
        <w:rPr>
          <w:i/>
          <w:spacing w:val="-2"/>
        </w:rPr>
        <w:t xml:space="preserve">ist, </w:t>
      </w:r>
      <w:r>
        <w:rPr>
          <w:spacing w:val="-2"/>
        </w:rPr>
        <w:t>ist nicht noch ein Prädikat oben ein, sondern nur das, was das Prä</w:t>
      </w:r>
      <w:r>
        <w:rPr>
          <w:spacing w:val="-2"/>
        </w:rPr>
        <w:softHyphen/>
        <w:t xml:space="preserve">dikat </w:t>
      </w:r>
      <w:r>
        <w:rPr>
          <w:i/>
          <w:spacing w:val="-2"/>
        </w:rPr>
        <w:t xml:space="preserve">beziehungsweise </w:t>
      </w:r>
      <w:r>
        <w:rPr>
          <w:spacing w:val="-2"/>
        </w:rPr>
        <w:t>aufs Subjekt setzt. Ne</w:t>
      </w:r>
      <w:r>
        <w:rPr>
          <w:spacing w:val="-2"/>
        </w:rPr>
        <w:t>h</w:t>
      </w:r>
      <w:r>
        <w:rPr>
          <w:spacing w:val="-2"/>
        </w:rPr>
        <w:t>me ich nun das Subjekt (Gott) mit allen seinen Prädikaten (worunter auch die Allmacht ge</w:t>
      </w:r>
      <w:r>
        <w:rPr>
          <w:spacing w:val="-2"/>
        </w:rPr>
        <w:softHyphen/>
        <w:t xml:space="preserve">höret) zusammen, und sage: </w:t>
      </w:r>
      <w:r>
        <w:rPr>
          <w:i/>
          <w:spacing w:val="-2"/>
        </w:rPr>
        <w:t xml:space="preserve">Gott ist, </w:t>
      </w:r>
      <w:r>
        <w:rPr>
          <w:spacing w:val="-2"/>
        </w:rPr>
        <w:t>oder es ist ein Gott, so setze ich kein neues Prädikat zum Begriffe von Gott, sondern nur das Sub</w:t>
      </w:r>
      <w:r>
        <w:rPr>
          <w:spacing w:val="-2"/>
        </w:rPr>
        <w:softHyphen/>
        <w:t xml:space="preserve">jekt an sich selbst mit allen seinen Prädikaten, und zwar den </w:t>
      </w:r>
      <w:r>
        <w:rPr>
          <w:i/>
          <w:spacing w:val="-2"/>
        </w:rPr>
        <w:t>Gegen</w:t>
      </w:r>
      <w:r>
        <w:rPr>
          <w:i/>
          <w:spacing w:val="-2"/>
        </w:rPr>
        <w:softHyphen/>
        <w:t xml:space="preserve">stand </w:t>
      </w:r>
      <w:r>
        <w:rPr>
          <w:spacing w:val="-2"/>
        </w:rPr>
        <w:t xml:space="preserve">in Beziehung auf meinen </w:t>
      </w:r>
      <w:r>
        <w:rPr>
          <w:i/>
          <w:spacing w:val="-2"/>
        </w:rPr>
        <w:t xml:space="preserve">Begriff. </w:t>
      </w:r>
      <w:r>
        <w:rPr>
          <w:spacing w:val="-2"/>
        </w:rPr>
        <w:t>Beide müssen genau einerlei enthalten, und es kann daher zu dem Begriffe, der bloß die Möglich</w:t>
      </w:r>
      <w:r>
        <w:rPr>
          <w:spacing w:val="-2"/>
        </w:rPr>
        <w:softHyphen/>
        <w:t xml:space="preserve">keit ausdrückt, darum, </w:t>
      </w:r>
      <w:proofErr w:type="spellStart"/>
      <w:r>
        <w:rPr>
          <w:spacing w:val="-2"/>
        </w:rPr>
        <w:t>daß</w:t>
      </w:r>
      <w:proofErr w:type="spellEnd"/>
      <w:r>
        <w:rPr>
          <w:spacing w:val="-2"/>
        </w:rPr>
        <w:t xml:space="preserve"> ich dessen Gegenstand als schlechthin gegeben (durch den Ausdruck: er ist) denke, nichts weiter hinzukom</w:t>
      </w:r>
      <w:r>
        <w:rPr>
          <w:spacing w:val="-2"/>
        </w:rPr>
        <w:softHyphen/>
        <w:t>men. Und so en</w:t>
      </w:r>
      <w:r>
        <w:rPr>
          <w:spacing w:val="-2"/>
        </w:rPr>
        <w:t>t</w:t>
      </w:r>
      <w:r>
        <w:rPr>
          <w:spacing w:val="-2"/>
        </w:rPr>
        <w:t>hält das Wirkliche nichts mehr als das bloß Mög</w:t>
      </w:r>
      <w:r>
        <w:rPr>
          <w:spacing w:val="-2"/>
        </w:rPr>
        <w:softHyphen/>
        <w:t>liche. Hundert wirkliche Taler enthalten nicht das mindeste mehr, als hundert mögliche. Denn, da diese den Begriff, jene aber den Gegenstand […] bedeuten, so würde, im Fall dieser mehr enthielte als jener, mein Begriff nicht den ganzen Gege</w:t>
      </w:r>
      <w:r>
        <w:rPr>
          <w:spacing w:val="-2"/>
        </w:rPr>
        <w:t>n</w:t>
      </w:r>
      <w:r>
        <w:rPr>
          <w:spacing w:val="-2"/>
        </w:rPr>
        <w:t>stand ausdrücken, und also auch nicht der angemessene Be</w:t>
      </w:r>
      <w:r>
        <w:rPr>
          <w:spacing w:val="-2"/>
        </w:rPr>
        <w:softHyphen/>
        <w:t>griff von ihm sein. Aber in meinem Vermögenszustande ist mehr bei hundert wirklichen Talern, als bei dem</w:t>
      </w:r>
      <w:r>
        <w:rPr>
          <w:spacing w:val="-2"/>
          <w:u w:val="single"/>
        </w:rPr>
        <w:t xml:space="preserve"> </w:t>
      </w:r>
      <w:r>
        <w:rPr>
          <w:spacing w:val="-2"/>
        </w:rPr>
        <w:t xml:space="preserve">bloßen Begriffe derselben (d. i. ihrer Möglichkeit). […] </w:t>
      </w:r>
    </w:p>
    <w:p w:rsidR="00433051" w:rsidRDefault="00433051" w:rsidP="00433051">
      <w:pPr>
        <w:pStyle w:val="KeinLeerraum"/>
        <w:spacing w:after="120"/>
        <w:jc w:val="both"/>
        <w:rPr>
          <w:spacing w:val="-2"/>
        </w:rPr>
      </w:pPr>
      <w:r>
        <w:rPr>
          <w:spacing w:val="-2"/>
        </w:rPr>
        <w:t>Wenn ich also ein Ding, durch welche und wie viel Prädikate ich will (selbst in der durchgängigen Bestimmung), denke, so kommt da</w:t>
      </w:r>
      <w:r>
        <w:rPr>
          <w:spacing w:val="-2"/>
        </w:rPr>
        <w:softHyphen/>
        <w:t xml:space="preserve">durch, </w:t>
      </w:r>
      <w:proofErr w:type="spellStart"/>
      <w:r>
        <w:rPr>
          <w:spacing w:val="-2"/>
        </w:rPr>
        <w:t>daß</w:t>
      </w:r>
      <w:proofErr w:type="spellEnd"/>
      <w:r>
        <w:rPr>
          <w:spacing w:val="-2"/>
        </w:rPr>
        <w:t xml:space="preserve"> ich noch hinzusetze, dieses Ding </w:t>
      </w:r>
      <w:r>
        <w:rPr>
          <w:i/>
          <w:spacing w:val="-2"/>
        </w:rPr>
        <w:t xml:space="preserve">ist, </w:t>
      </w:r>
      <w:r>
        <w:rPr>
          <w:spacing w:val="-2"/>
        </w:rPr>
        <w:t>nicht das mi</w:t>
      </w:r>
      <w:r>
        <w:rPr>
          <w:spacing w:val="-2"/>
        </w:rPr>
        <w:t>n</w:t>
      </w:r>
      <w:r>
        <w:rPr>
          <w:spacing w:val="-2"/>
        </w:rPr>
        <w:t>deste zu dem Dinge hinzu. Denn sonst würde nicht eben dasselbe, son</w:t>
      </w:r>
      <w:r>
        <w:rPr>
          <w:spacing w:val="-2"/>
        </w:rPr>
        <w:softHyphen/>
        <w:t>dern mehr existieren, als ich im Begriffe gedacht hatte, und ich könn</w:t>
      </w:r>
      <w:r>
        <w:rPr>
          <w:spacing w:val="-2"/>
        </w:rPr>
        <w:softHyphen/>
        <w:t xml:space="preserve">te nicht sagen, </w:t>
      </w:r>
      <w:proofErr w:type="spellStart"/>
      <w:r>
        <w:rPr>
          <w:spacing w:val="-2"/>
        </w:rPr>
        <w:t>daß</w:t>
      </w:r>
      <w:proofErr w:type="spellEnd"/>
      <w:r>
        <w:rPr>
          <w:spacing w:val="-2"/>
        </w:rPr>
        <w:t xml:space="preserve"> gerade der Gegenstand meines Begriffs existiere. Denke ich mir […] nun ein We</w:t>
      </w:r>
      <w:r>
        <w:rPr>
          <w:spacing w:val="-2"/>
        </w:rPr>
        <w:softHyphen/>
        <w:t>sen als die höchste Realität (ohne Mangel), so bleibt noch immer die Frage, ob es existiere, oder nicht. […]</w:t>
      </w:r>
    </w:p>
    <w:p w:rsidR="00433051" w:rsidRDefault="00433051" w:rsidP="00433051">
      <w:pPr>
        <w:pStyle w:val="KeinLeerraum"/>
        <w:spacing w:after="60"/>
        <w:jc w:val="both"/>
        <w:rPr>
          <w:spacing w:val="-2"/>
        </w:rPr>
      </w:pPr>
      <w:r>
        <w:rPr>
          <w:spacing w:val="-2"/>
        </w:rPr>
        <w:t>Unser Begriff von einem Gegenstande mag also enthalten, was und wie viel er wolle, so müssen wir doch aus ihm herausgehen, um die</w:t>
      </w:r>
      <w:r>
        <w:rPr>
          <w:spacing w:val="-2"/>
        </w:rPr>
        <w:softHyphen/>
        <w:t xml:space="preserve">sem die Existenz zu erteilen. Bei Gegenständen der Sinne geschieht dieses durch den Zusammenhang mit </w:t>
      </w:r>
      <w:proofErr w:type="gramStart"/>
      <w:r>
        <w:rPr>
          <w:spacing w:val="-2"/>
        </w:rPr>
        <w:t>irgend einer</w:t>
      </w:r>
      <w:proofErr w:type="gramEnd"/>
      <w:r>
        <w:rPr>
          <w:spacing w:val="-2"/>
        </w:rPr>
        <w:t xml:space="preserve"> meiner Wahrneh</w:t>
      </w:r>
      <w:r>
        <w:rPr>
          <w:spacing w:val="-2"/>
        </w:rPr>
        <w:softHyphen/>
        <w:t>mungen nach empir</w:t>
      </w:r>
      <w:r>
        <w:rPr>
          <w:spacing w:val="-2"/>
        </w:rPr>
        <w:t>i</w:t>
      </w:r>
      <w:r>
        <w:rPr>
          <w:spacing w:val="-2"/>
        </w:rPr>
        <w:t>schen Gesetzen; aber für Objekte des reinen Denkens ist ganz und gar kein Mittel, ihr Dasein zu erkennen […].</w:t>
      </w:r>
    </w:p>
    <w:p w:rsidR="00433051" w:rsidRDefault="00433051" w:rsidP="00433051">
      <w:pPr>
        <w:spacing w:line="200" w:lineRule="atLeast"/>
        <w:textAlignment w:val="baseline"/>
      </w:pPr>
      <w:r>
        <w:rPr>
          <w:rFonts w:eastAsia="Garamond"/>
          <w:color w:val="000000"/>
          <w:spacing w:val="4"/>
          <w:sz w:val="18"/>
          <w:szCs w:val="18"/>
          <w:lang w:val="de-DE"/>
        </w:rPr>
        <w:t xml:space="preserve">Immanuel Kant, Kritik der reinen Vernunft. </w:t>
      </w:r>
      <w:r>
        <w:rPr>
          <w:rFonts w:eastAsia="Garamond"/>
          <w:color w:val="000000"/>
          <w:spacing w:val="4"/>
          <w:sz w:val="18"/>
          <w:szCs w:val="18"/>
          <w:lang w:val="de-DE"/>
        </w:rPr>
        <w:t xml:space="preserve">1787, </w:t>
      </w:r>
      <w:r>
        <w:rPr>
          <w:rFonts w:eastAsia="Garamond"/>
          <w:color w:val="000000"/>
          <w:spacing w:val="4"/>
          <w:sz w:val="18"/>
          <w:szCs w:val="18"/>
          <w:lang w:val="de-DE"/>
        </w:rPr>
        <w:t xml:space="preserve">nach: </w:t>
      </w:r>
      <w:r w:rsidRPr="00433051">
        <w:rPr>
          <w:rFonts w:eastAsia="Garamond"/>
          <w:color w:val="000000"/>
          <w:spacing w:val="4"/>
          <w:sz w:val="18"/>
          <w:szCs w:val="18"/>
          <w:lang w:val="de-DE"/>
        </w:rPr>
        <w:t>http://gutenberg.spiegel.de/buch/3502/1</w:t>
      </w:r>
      <w:r>
        <w:rPr>
          <w:rFonts w:eastAsia="Garamond"/>
          <w:color w:val="000000"/>
          <w:spacing w:val="4"/>
          <w:sz w:val="18"/>
          <w:szCs w:val="18"/>
          <w:lang w:val="de-DE"/>
        </w:rPr>
        <w:t xml:space="preserve"> </w:t>
      </w:r>
    </w:p>
    <w:p w:rsidR="00514AB2" w:rsidRPr="00D219E5" w:rsidRDefault="00514AB2" w:rsidP="00D219E5">
      <w:pPr>
        <w:pStyle w:val="Listenabsatz"/>
        <w:numPr>
          <w:ilvl w:val="0"/>
          <w:numId w:val="1"/>
        </w:numPr>
        <w:spacing w:before="120" w:line="240" w:lineRule="atLeast"/>
        <w:ind w:left="360"/>
        <w:textAlignment w:val="baseline"/>
        <w:rPr>
          <w:rFonts w:ascii="Arial" w:eastAsia="Garamond" w:hAnsi="Arial" w:cs="Arial"/>
          <w:color w:val="000000"/>
          <w:spacing w:val="4"/>
          <w:lang w:val="de-DE"/>
        </w:rPr>
      </w:pPr>
      <w:r w:rsidRPr="00514AB2">
        <w:rPr>
          <w:rFonts w:ascii="Arial" w:eastAsia="Garamond" w:hAnsi="Arial" w:cs="Arial"/>
          <w:color w:val="000000"/>
          <w:spacing w:val="4"/>
          <w:lang w:val="de-DE"/>
        </w:rPr>
        <w:t xml:space="preserve">Wenn ich den Begriff </w:t>
      </w:r>
      <w:r w:rsidRPr="00514AB2">
        <w:rPr>
          <w:rFonts w:ascii="Arial" w:eastAsia="Garamond" w:hAnsi="Arial" w:cs="Arial"/>
          <w:i/>
          <w:color w:val="000000"/>
          <w:spacing w:val="4"/>
          <w:lang w:val="de-DE"/>
        </w:rPr>
        <w:t>Junggeselle</w:t>
      </w:r>
      <w:r w:rsidRPr="00514AB2">
        <w:rPr>
          <w:rFonts w:ascii="Arial" w:eastAsia="Garamond" w:hAnsi="Arial" w:cs="Arial"/>
          <w:color w:val="000000"/>
          <w:spacing w:val="4"/>
          <w:lang w:val="de-DE"/>
        </w:rPr>
        <w:t xml:space="preserve"> denke und verstehe, so verknüpfe ich mit ihm no</w:t>
      </w:r>
      <w:r w:rsidRPr="00514AB2">
        <w:rPr>
          <w:rFonts w:ascii="Arial" w:eastAsia="Garamond" w:hAnsi="Arial" w:cs="Arial"/>
          <w:color w:val="000000"/>
          <w:spacing w:val="4"/>
          <w:lang w:val="de-DE"/>
        </w:rPr>
        <w:t>t</w:t>
      </w:r>
      <w:r w:rsidRPr="00514AB2">
        <w:rPr>
          <w:rFonts w:ascii="Arial" w:eastAsia="Garamond" w:hAnsi="Arial" w:cs="Arial"/>
          <w:color w:val="000000"/>
          <w:spacing w:val="4"/>
          <w:lang w:val="de-DE"/>
        </w:rPr>
        <w:t xml:space="preserve">wendig die Bestimmung bzw. das Prädikat </w:t>
      </w:r>
      <w:r w:rsidRPr="00514AB2">
        <w:rPr>
          <w:rFonts w:ascii="Arial" w:eastAsia="Garamond" w:hAnsi="Arial" w:cs="Arial"/>
          <w:i/>
          <w:color w:val="000000"/>
          <w:spacing w:val="4"/>
          <w:lang w:val="de-DE"/>
        </w:rPr>
        <w:t xml:space="preserve">unverheirateter Mann. </w:t>
      </w:r>
      <w:r w:rsidRPr="00D219E5">
        <w:rPr>
          <w:rFonts w:ascii="Arial" w:eastAsia="Garamond" w:hAnsi="Arial" w:cs="Arial"/>
          <w:color w:val="000000"/>
          <w:spacing w:val="4"/>
          <w:lang w:val="de-DE"/>
        </w:rPr>
        <w:t xml:space="preserve">Denke ich den Begriff </w:t>
      </w:r>
      <w:r w:rsidRPr="00D219E5">
        <w:rPr>
          <w:rFonts w:ascii="Arial" w:eastAsia="Garamond" w:hAnsi="Arial" w:cs="Arial"/>
          <w:i/>
          <w:color w:val="000000"/>
          <w:spacing w:val="4"/>
          <w:lang w:val="de-DE"/>
        </w:rPr>
        <w:t>Gott</w:t>
      </w:r>
      <w:r w:rsidRPr="00D219E5">
        <w:rPr>
          <w:rFonts w:ascii="Arial" w:eastAsia="Garamond" w:hAnsi="Arial" w:cs="Arial"/>
          <w:color w:val="000000"/>
          <w:spacing w:val="4"/>
          <w:lang w:val="de-DE"/>
        </w:rPr>
        <w:t xml:space="preserve"> und verstehe ihn als höchste Realität bzw. vollkommenes Wesen, so verbinde ich damit notwendig Prädikate wie Allmacht, </w:t>
      </w:r>
      <w:proofErr w:type="spellStart"/>
      <w:r w:rsidRPr="00D219E5">
        <w:rPr>
          <w:rFonts w:ascii="Arial" w:eastAsia="Garamond" w:hAnsi="Arial" w:cs="Arial"/>
          <w:color w:val="000000"/>
          <w:spacing w:val="4"/>
          <w:lang w:val="de-DE"/>
        </w:rPr>
        <w:t>Allgüte</w:t>
      </w:r>
      <w:proofErr w:type="spellEnd"/>
      <w:r w:rsidRPr="00D219E5">
        <w:rPr>
          <w:rFonts w:ascii="Arial" w:eastAsia="Garamond" w:hAnsi="Arial" w:cs="Arial"/>
          <w:color w:val="000000"/>
          <w:spacing w:val="4"/>
          <w:lang w:val="de-DE"/>
        </w:rPr>
        <w:t xml:space="preserve"> und Allwissenheit. </w:t>
      </w:r>
    </w:p>
    <w:p w:rsidR="00514AB2" w:rsidRDefault="00514AB2" w:rsidP="00514AB2">
      <w:pPr>
        <w:pStyle w:val="Listenabsatz"/>
        <w:spacing w:after="60" w:line="240" w:lineRule="atLeast"/>
        <w:ind w:left="357"/>
        <w:contextualSpacing w:val="0"/>
        <w:textAlignment w:val="baseline"/>
        <w:rPr>
          <w:rFonts w:ascii="Arial" w:eastAsia="Garamond" w:hAnsi="Arial" w:cs="Arial"/>
          <w:color w:val="000000"/>
          <w:spacing w:val="4"/>
          <w:lang w:val="de-DE"/>
        </w:rPr>
      </w:pPr>
      <w:r w:rsidRPr="00514AB2">
        <w:rPr>
          <w:rFonts w:ascii="Arial" w:eastAsia="Garamond" w:hAnsi="Arial" w:cs="Arial"/>
          <w:color w:val="000000"/>
          <w:spacing w:val="4"/>
          <w:lang w:val="de-DE"/>
        </w:rPr>
        <w:t>Erklären Sie, weshalb ich nach Kant nicht das Sein oder die Existenz als notwendige E</w:t>
      </w:r>
      <w:r w:rsidRPr="00514AB2">
        <w:rPr>
          <w:rFonts w:ascii="Arial" w:eastAsia="Garamond" w:hAnsi="Arial" w:cs="Arial"/>
          <w:color w:val="000000"/>
          <w:spacing w:val="4"/>
          <w:lang w:val="de-DE"/>
        </w:rPr>
        <w:t>i</w:t>
      </w:r>
      <w:r w:rsidRPr="00514AB2">
        <w:rPr>
          <w:rFonts w:ascii="Arial" w:eastAsia="Garamond" w:hAnsi="Arial" w:cs="Arial"/>
          <w:color w:val="000000"/>
          <w:spacing w:val="4"/>
          <w:lang w:val="de-DE"/>
        </w:rPr>
        <w:t xml:space="preserve">genschaft Gottes aus diesem Gottesbegriff ableiten kann. </w:t>
      </w:r>
    </w:p>
    <w:p w:rsidR="00514AB2" w:rsidRDefault="00514AB2" w:rsidP="00514AB2">
      <w:pPr>
        <w:pStyle w:val="Listenabsatz"/>
        <w:numPr>
          <w:ilvl w:val="0"/>
          <w:numId w:val="1"/>
        </w:numPr>
        <w:spacing w:after="120" w:line="240" w:lineRule="atLeast"/>
        <w:ind w:left="340"/>
        <w:jc w:val="both"/>
        <w:textAlignment w:val="baseline"/>
        <w:rPr>
          <w:rFonts w:ascii="Arial" w:eastAsia="Garamond" w:hAnsi="Arial" w:cs="Arial"/>
          <w:color w:val="000000"/>
          <w:spacing w:val="4"/>
          <w:lang w:val="de-DE"/>
        </w:rPr>
      </w:pPr>
      <w:r w:rsidRPr="00514AB2">
        <w:rPr>
          <w:rFonts w:ascii="Arial" w:eastAsia="Garamond" w:hAnsi="Arial" w:cs="Arial"/>
          <w:spacing w:val="4"/>
          <w:lang w:val="de-DE"/>
        </w:rPr>
        <w:t xml:space="preserve">Kant </w:t>
      </w:r>
      <w:r w:rsidRPr="00514AB2">
        <w:rPr>
          <w:rFonts w:ascii="Arial" w:eastAsia="Garamond" w:hAnsi="Arial" w:cs="Arial"/>
          <w:color w:val="000000"/>
          <w:spacing w:val="4"/>
          <w:lang w:val="de-DE"/>
        </w:rPr>
        <w:t xml:space="preserve">schreibt in der Vorrede zu seinem Hauptwerk </w:t>
      </w:r>
      <w:r w:rsidRPr="00514AB2">
        <w:rPr>
          <w:rFonts w:ascii="Arial" w:eastAsia="Garamond" w:hAnsi="Arial" w:cs="Arial"/>
          <w:i/>
          <w:color w:val="000000"/>
          <w:spacing w:val="4"/>
          <w:lang w:val="de-DE"/>
        </w:rPr>
        <w:t xml:space="preserve">Kritik der </w:t>
      </w:r>
      <w:r w:rsidR="006310B1">
        <w:rPr>
          <w:rFonts w:ascii="Arial" w:eastAsia="Garamond" w:hAnsi="Arial" w:cs="Arial"/>
          <w:i/>
          <w:color w:val="000000"/>
          <w:spacing w:val="4"/>
          <w:lang w:val="de-DE"/>
        </w:rPr>
        <w:t>r</w:t>
      </w:r>
      <w:r w:rsidRPr="00514AB2">
        <w:rPr>
          <w:rFonts w:ascii="Arial" w:eastAsia="Garamond" w:hAnsi="Arial" w:cs="Arial"/>
          <w:i/>
          <w:color w:val="000000"/>
          <w:spacing w:val="4"/>
          <w:lang w:val="de-DE"/>
        </w:rPr>
        <w:t>einen Vernunft</w:t>
      </w:r>
      <w:r w:rsidRPr="00514AB2">
        <w:rPr>
          <w:rFonts w:ascii="Arial" w:eastAsia="Garamond" w:hAnsi="Arial" w:cs="Arial"/>
          <w:color w:val="000000"/>
          <w:spacing w:val="4"/>
          <w:lang w:val="de-DE"/>
        </w:rPr>
        <w:t xml:space="preserve">: „Ich </w:t>
      </w:r>
      <w:proofErr w:type="spellStart"/>
      <w:r w:rsidRPr="00514AB2">
        <w:rPr>
          <w:rFonts w:ascii="Arial" w:eastAsia="Garamond" w:hAnsi="Arial" w:cs="Arial"/>
          <w:color w:val="000000"/>
          <w:spacing w:val="4"/>
          <w:lang w:val="de-DE"/>
        </w:rPr>
        <w:t>mußte</w:t>
      </w:r>
      <w:proofErr w:type="spellEnd"/>
      <w:r w:rsidRPr="00514AB2">
        <w:rPr>
          <w:rFonts w:ascii="Arial" w:eastAsia="Garamond" w:hAnsi="Arial" w:cs="Arial"/>
          <w:color w:val="000000"/>
          <w:spacing w:val="4"/>
          <w:lang w:val="de-DE"/>
        </w:rPr>
        <w:t xml:space="preserve">  also das [scheinbare] Wissen aufheben, um zum Glauben Platz bekommen.“ (</w:t>
      </w:r>
      <w:proofErr w:type="spellStart"/>
      <w:r w:rsidRPr="00514AB2">
        <w:rPr>
          <w:rFonts w:ascii="Arial" w:eastAsia="Garamond" w:hAnsi="Arial" w:cs="Arial"/>
          <w:color w:val="000000"/>
          <w:spacing w:val="4"/>
          <w:lang w:val="de-DE"/>
        </w:rPr>
        <w:t>KrV</w:t>
      </w:r>
      <w:proofErr w:type="spellEnd"/>
      <w:r w:rsidRPr="00514AB2">
        <w:rPr>
          <w:rFonts w:ascii="Arial" w:eastAsia="Garamond" w:hAnsi="Arial" w:cs="Arial"/>
          <w:color w:val="000000"/>
          <w:spacing w:val="4"/>
          <w:lang w:val="de-DE"/>
        </w:rPr>
        <w:t xml:space="preserve">, B XXX). </w:t>
      </w:r>
    </w:p>
    <w:p w:rsidR="000459D3" w:rsidRDefault="00514AB2" w:rsidP="000459D3">
      <w:pPr>
        <w:pStyle w:val="Listenabsatz"/>
        <w:spacing w:after="60" w:line="240" w:lineRule="atLeast"/>
        <w:ind w:left="340"/>
        <w:contextualSpacing w:val="0"/>
        <w:jc w:val="both"/>
        <w:textAlignment w:val="baseline"/>
        <w:rPr>
          <w:rFonts w:ascii="Arial" w:eastAsia="Garamond" w:hAnsi="Arial" w:cs="Arial"/>
          <w:color w:val="000000"/>
          <w:spacing w:val="4"/>
          <w:lang w:val="de-DE"/>
        </w:rPr>
      </w:pPr>
      <w:r>
        <w:rPr>
          <w:rFonts w:ascii="Arial" w:eastAsia="Garamond" w:hAnsi="Arial" w:cs="Arial"/>
          <w:color w:val="000000"/>
          <w:spacing w:val="4"/>
          <w:lang w:val="de-DE"/>
        </w:rPr>
        <w:t xml:space="preserve">Versuchen Sie im Anschluss an diese Äußerung </w:t>
      </w:r>
      <w:r w:rsidRPr="00514AB2">
        <w:rPr>
          <w:rFonts w:ascii="Arial" w:eastAsia="Garamond" w:hAnsi="Arial" w:cs="Arial"/>
          <w:color w:val="000000"/>
          <w:spacing w:val="4"/>
          <w:lang w:val="de-DE"/>
        </w:rPr>
        <w:t>eine Bestimmung der Begriffe Wissen und Glauben</w:t>
      </w:r>
      <w:r w:rsidR="000459D3">
        <w:rPr>
          <w:rFonts w:ascii="Arial" w:eastAsia="Garamond" w:hAnsi="Arial" w:cs="Arial"/>
          <w:color w:val="000000"/>
          <w:spacing w:val="4"/>
          <w:lang w:val="de-DE"/>
        </w:rPr>
        <w:t>.</w:t>
      </w:r>
    </w:p>
    <w:p w:rsidR="00564638" w:rsidRDefault="000459D3" w:rsidP="00752F7B">
      <w:pPr>
        <w:pStyle w:val="Listenabsatz"/>
        <w:numPr>
          <w:ilvl w:val="0"/>
          <w:numId w:val="1"/>
        </w:numPr>
        <w:spacing w:after="240" w:line="240" w:lineRule="atLeast"/>
        <w:ind w:left="340"/>
        <w:jc w:val="both"/>
        <w:textAlignment w:val="baseline"/>
        <w:rPr>
          <w:rFonts w:ascii="Arial" w:eastAsia="Garamond" w:hAnsi="Arial" w:cs="Arial"/>
          <w:color w:val="000000"/>
          <w:spacing w:val="4"/>
          <w:lang w:val="de-DE"/>
        </w:rPr>
      </w:pPr>
      <w:r>
        <w:rPr>
          <w:rFonts w:ascii="Arial" w:eastAsia="Garamond" w:hAnsi="Arial" w:cs="Arial"/>
          <w:color w:val="000000"/>
          <w:spacing w:val="4"/>
          <w:lang w:val="de-DE"/>
        </w:rPr>
        <w:t>E</w:t>
      </w:r>
      <w:r w:rsidRPr="000459D3">
        <w:rPr>
          <w:rFonts w:ascii="Arial" w:eastAsia="Garamond" w:hAnsi="Arial" w:cs="Arial"/>
          <w:color w:val="000000"/>
          <w:spacing w:val="4"/>
          <w:lang w:val="de-DE"/>
        </w:rPr>
        <w:t>ntwickeln Sie auf d</w:t>
      </w:r>
      <w:r>
        <w:rPr>
          <w:rFonts w:ascii="Arial" w:eastAsia="Garamond" w:hAnsi="Arial" w:cs="Arial"/>
          <w:color w:val="000000"/>
          <w:spacing w:val="4"/>
          <w:lang w:val="de-DE"/>
        </w:rPr>
        <w:t xml:space="preserve">er </w:t>
      </w:r>
      <w:r w:rsidR="00CB6A27" w:rsidRPr="000459D3">
        <w:rPr>
          <w:rFonts w:ascii="Arial" w:eastAsia="Garamond" w:hAnsi="Arial" w:cs="Arial"/>
          <w:color w:val="000000"/>
          <w:spacing w:val="4"/>
          <w:lang w:val="de-DE"/>
        </w:rPr>
        <w:t>Basis</w:t>
      </w:r>
      <w:r w:rsidRPr="000459D3">
        <w:rPr>
          <w:rFonts w:ascii="Arial" w:eastAsia="Garamond" w:hAnsi="Arial" w:cs="Arial"/>
          <w:color w:val="000000"/>
          <w:spacing w:val="4"/>
          <w:lang w:val="de-DE"/>
        </w:rPr>
        <w:t xml:space="preserve"> </w:t>
      </w:r>
      <w:r>
        <w:rPr>
          <w:rFonts w:ascii="Arial" w:eastAsia="Garamond" w:hAnsi="Arial" w:cs="Arial"/>
          <w:color w:val="000000"/>
          <w:spacing w:val="4"/>
          <w:lang w:val="de-DE"/>
        </w:rPr>
        <w:t xml:space="preserve">Ihrer Definitionen </w:t>
      </w:r>
      <w:r w:rsidRPr="000459D3">
        <w:rPr>
          <w:rFonts w:ascii="Arial" w:eastAsia="Garamond" w:hAnsi="Arial" w:cs="Arial"/>
          <w:color w:val="000000"/>
          <w:spacing w:val="4"/>
          <w:lang w:val="de-DE"/>
        </w:rPr>
        <w:t>eigene begründete Ideen zu dem Pro</w:t>
      </w:r>
      <w:r w:rsidRPr="000459D3">
        <w:rPr>
          <w:rFonts w:ascii="Arial" w:eastAsia="Garamond" w:hAnsi="Arial" w:cs="Arial"/>
          <w:color w:val="000000"/>
          <w:spacing w:val="4"/>
          <w:lang w:val="de-DE"/>
        </w:rPr>
        <w:t>b</w:t>
      </w:r>
      <w:r w:rsidRPr="000459D3">
        <w:rPr>
          <w:rFonts w:ascii="Arial" w:eastAsia="Garamond" w:hAnsi="Arial" w:cs="Arial"/>
          <w:color w:val="000000"/>
          <w:spacing w:val="4"/>
          <w:lang w:val="de-DE"/>
        </w:rPr>
        <w:t xml:space="preserve">lem, ob </w:t>
      </w:r>
      <w:r w:rsidR="00514AB2" w:rsidRPr="000459D3">
        <w:rPr>
          <w:rFonts w:ascii="Arial" w:eastAsia="Garamond" w:hAnsi="Arial" w:cs="Arial"/>
          <w:color w:val="000000"/>
          <w:spacing w:val="4"/>
          <w:lang w:val="de-DE"/>
        </w:rPr>
        <w:t>metaphysische Fragen wie die nach der Existenz Gottes überhaupt durch die mens</w:t>
      </w:r>
      <w:bookmarkStart w:id="0" w:name="_GoBack"/>
      <w:bookmarkEnd w:id="0"/>
      <w:r w:rsidR="00514AB2" w:rsidRPr="000459D3">
        <w:rPr>
          <w:rFonts w:ascii="Arial" w:eastAsia="Garamond" w:hAnsi="Arial" w:cs="Arial"/>
          <w:color w:val="000000"/>
          <w:spacing w:val="4"/>
          <w:lang w:val="de-DE"/>
        </w:rPr>
        <w:t xml:space="preserve">chliche Vernunft </w:t>
      </w:r>
      <w:proofErr w:type="spellStart"/>
      <w:r w:rsidR="00514AB2" w:rsidRPr="000459D3">
        <w:rPr>
          <w:rFonts w:ascii="Arial" w:eastAsia="Garamond" w:hAnsi="Arial" w:cs="Arial"/>
          <w:color w:val="000000"/>
          <w:spacing w:val="4"/>
          <w:lang w:val="de-DE"/>
        </w:rPr>
        <w:t>beantwortbar</w:t>
      </w:r>
      <w:proofErr w:type="spellEnd"/>
      <w:r w:rsidRPr="000459D3">
        <w:rPr>
          <w:rFonts w:ascii="Arial" w:eastAsia="Garamond" w:hAnsi="Arial" w:cs="Arial"/>
          <w:color w:val="000000"/>
          <w:spacing w:val="4"/>
          <w:lang w:val="de-DE"/>
        </w:rPr>
        <w:t xml:space="preserve"> sind.</w:t>
      </w:r>
      <w:r w:rsidR="00514AB2" w:rsidRPr="000459D3">
        <w:rPr>
          <w:rFonts w:ascii="Arial" w:eastAsia="Garamond" w:hAnsi="Arial" w:cs="Arial"/>
          <w:color w:val="000000"/>
          <w:spacing w:val="4"/>
          <w:lang w:val="de-DE"/>
        </w:rPr>
        <w:t xml:space="preserve"> </w:t>
      </w:r>
    </w:p>
    <w:p w:rsidR="0018247F" w:rsidRDefault="0018247F" w:rsidP="00365D75">
      <w:pPr>
        <w:pStyle w:val="KeinLeerraum"/>
        <w:spacing w:after="120"/>
        <w:rPr>
          <w:i/>
          <w:color w:val="000000"/>
          <w:spacing w:val="4"/>
          <w:sz w:val="22"/>
          <w:szCs w:val="22"/>
        </w:rPr>
      </w:pPr>
      <w:r>
        <w:rPr>
          <w:i/>
          <w:color w:val="000000"/>
          <w:spacing w:val="4"/>
          <w:sz w:val="22"/>
          <w:szCs w:val="22"/>
        </w:rPr>
        <w:lastRenderedPageBreak/>
        <w:t xml:space="preserve">Grundlage für eine vertiefende Auseinandersetzung mit dem ontologischen Beweis bietet die fünfte der </w:t>
      </w:r>
      <w:proofErr w:type="spellStart"/>
      <w:r>
        <w:rPr>
          <w:i/>
          <w:color w:val="000000"/>
          <w:spacing w:val="4"/>
          <w:sz w:val="22"/>
          <w:szCs w:val="22"/>
        </w:rPr>
        <w:t>cartesischen</w:t>
      </w:r>
      <w:proofErr w:type="spellEnd"/>
      <w:r>
        <w:rPr>
          <w:i/>
          <w:color w:val="000000"/>
          <w:spacing w:val="4"/>
          <w:sz w:val="22"/>
          <w:szCs w:val="22"/>
        </w:rPr>
        <w:t xml:space="preserve"> „Meditati</w:t>
      </w:r>
      <w:r w:rsidR="003A0671">
        <w:rPr>
          <w:i/>
          <w:color w:val="000000"/>
          <w:spacing w:val="4"/>
          <w:sz w:val="22"/>
          <w:szCs w:val="22"/>
        </w:rPr>
        <w:t>onen über die Erste Philosophie</w:t>
      </w:r>
      <w:r w:rsidR="00F77ACD">
        <w:rPr>
          <w:i/>
          <w:color w:val="000000"/>
          <w:spacing w:val="4"/>
          <w:sz w:val="22"/>
          <w:szCs w:val="22"/>
        </w:rPr>
        <w:t>“(1641)</w:t>
      </w:r>
      <w:r w:rsidR="003A0671">
        <w:rPr>
          <w:i/>
          <w:color w:val="000000"/>
          <w:spacing w:val="4"/>
          <w:sz w:val="22"/>
          <w:szCs w:val="22"/>
        </w:rPr>
        <w:t>.</w:t>
      </w:r>
    </w:p>
    <w:p w:rsidR="00ED5BAE" w:rsidRPr="00ED5BAE" w:rsidRDefault="00ED5BAE" w:rsidP="00DC2F88">
      <w:pPr>
        <w:spacing w:after="240" w:line="315" w:lineRule="exact"/>
        <w:textAlignment w:val="baseline"/>
        <w:rPr>
          <w:rFonts w:eastAsia="Times New Roman"/>
          <w:color w:val="000000"/>
          <w:spacing w:val="4"/>
          <w:u w:val="single"/>
          <w:lang w:val="de-DE"/>
        </w:rPr>
      </w:pPr>
    </w:p>
    <w:p w:rsidR="00F40253" w:rsidRPr="00DC2F88" w:rsidRDefault="00F40253">
      <w:pPr>
        <w:rPr>
          <w:lang w:val="de-DE"/>
        </w:rPr>
      </w:pPr>
    </w:p>
    <w:sectPr w:rsidR="00F40253" w:rsidRPr="00DC2F88" w:rsidSect="00FB4C7F">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09" w:rsidRDefault="00F06A09" w:rsidP="00514AB2">
      <w:r>
        <w:separator/>
      </w:r>
    </w:p>
  </w:endnote>
  <w:endnote w:type="continuationSeparator" w:id="0">
    <w:p w:rsidR="00F06A09" w:rsidRDefault="00F06A09" w:rsidP="0051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09" w:rsidRDefault="00F06A09" w:rsidP="00514AB2">
      <w:r>
        <w:separator/>
      </w:r>
    </w:p>
  </w:footnote>
  <w:footnote w:type="continuationSeparator" w:id="0">
    <w:p w:rsidR="00F06A09" w:rsidRDefault="00F06A09" w:rsidP="00514AB2">
      <w:r>
        <w:continuationSeparator/>
      </w:r>
    </w:p>
  </w:footnote>
  <w:footnote w:id="1">
    <w:p w:rsidR="00F43DD9" w:rsidRPr="00E07B9E" w:rsidRDefault="00F43DD9" w:rsidP="00E07B9E">
      <w:pPr>
        <w:spacing w:after="60"/>
        <w:textAlignment w:val="baseline"/>
        <w:rPr>
          <w:rFonts w:eastAsia="Garamond"/>
          <w:color w:val="000000"/>
          <w:spacing w:val="4"/>
          <w:sz w:val="18"/>
          <w:szCs w:val="18"/>
          <w:lang w:val="de-DE"/>
        </w:rPr>
      </w:pPr>
      <w:r>
        <w:rPr>
          <w:rStyle w:val="Funotenzeichen"/>
        </w:rPr>
        <w:footnoteRef/>
      </w:r>
      <w:r>
        <w:t xml:space="preserve"> </w:t>
      </w:r>
      <w:proofErr w:type="spellStart"/>
      <w:r w:rsidR="005A0625" w:rsidRPr="005A0625">
        <w:rPr>
          <w:sz w:val="18"/>
          <w:szCs w:val="18"/>
        </w:rPr>
        <w:t>Erläuterung</w:t>
      </w:r>
      <w:proofErr w:type="spellEnd"/>
      <w:r w:rsidR="005A0625">
        <w:rPr>
          <w:sz w:val="18"/>
          <w:szCs w:val="18"/>
        </w:rPr>
        <w:t xml:space="preserve"> (</w:t>
      </w:r>
      <w:r w:rsidR="00085756">
        <w:rPr>
          <w:rFonts w:eastAsia="Garamond"/>
          <w:color w:val="000000"/>
          <w:spacing w:val="4"/>
          <w:sz w:val="18"/>
          <w:szCs w:val="18"/>
          <w:lang w:val="de-DE"/>
        </w:rPr>
        <w:t xml:space="preserve">A. J. </w:t>
      </w:r>
      <w:proofErr w:type="spellStart"/>
      <w:r w:rsidR="00085756">
        <w:rPr>
          <w:rFonts w:eastAsia="Garamond"/>
          <w:color w:val="000000"/>
          <w:spacing w:val="4"/>
          <w:sz w:val="18"/>
          <w:szCs w:val="18"/>
          <w:lang w:val="de-DE"/>
        </w:rPr>
        <w:t>Ayer</w:t>
      </w:r>
      <w:proofErr w:type="spellEnd"/>
      <w:r w:rsidR="00085756">
        <w:rPr>
          <w:rFonts w:eastAsia="Garamond"/>
          <w:color w:val="000000"/>
          <w:spacing w:val="4"/>
          <w:sz w:val="18"/>
          <w:szCs w:val="18"/>
          <w:lang w:val="de-DE"/>
        </w:rPr>
        <w:t>: Die Hauptfragen der Philosophie. Piper</w:t>
      </w:r>
      <w:r w:rsidR="007A07F8">
        <w:rPr>
          <w:rFonts w:eastAsia="Garamond"/>
          <w:color w:val="000000"/>
          <w:spacing w:val="4"/>
          <w:sz w:val="18"/>
          <w:szCs w:val="18"/>
          <w:lang w:val="de-DE"/>
        </w:rPr>
        <w:t>: München</w:t>
      </w:r>
      <w:r w:rsidR="00085756">
        <w:rPr>
          <w:rFonts w:eastAsia="Garamond"/>
          <w:color w:val="000000"/>
          <w:spacing w:val="4"/>
          <w:sz w:val="18"/>
          <w:szCs w:val="18"/>
          <w:lang w:val="de-DE"/>
        </w:rPr>
        <w:t xml:space="preserve"> 1976, S. 269) </w:t>
      </w:r>
      <w:r w:rsidRPr="00E07B9E">
        <w:rPr>
          <w:rFonts w:eastAsia="Garamond"/>
          <w:color w:val="000000"/>
          <w:spacing w:val="4"/>
          <w:sz w:val="18"/>
          <w:szCs w:val="18"/>
          <w:lang w:val="de-DE"/>
        </w:rPr>
        <w:t xml:space="preserve">      </w:t>
      </w:r>
    </w:p>
    <w:p w:rsidR="00F43DD9" w:rsidRPr="00F43DD9" w:rsidRDefault="00F43DD9">
      <w:pPr>
        <w:pStyle w:val="Funotentext"/>
        <w:rPr>
          <w:sz w:val="18"/>
          <w:szCs w:val="18"/>
          <w:lang w:val="de-DE"/>
        </w:rPr>
      </w:pPr>
    </w:p>
  </w:footnote>
  <w:footnote w:id="2">
    <w:p w:rsidR="00433051" w:rsidRDefault="00433051" w:rsidP="00433051">
      <w:pPr>
        <w:pStyle w:val="Funotentext"/>
        <w:rPr>
          <w:lang w:val="de-DE"/>
        </w:rPr>
      </w:pPr>
      <w:r>
        <w:rPr>
          <w:rStyle w:val="Funotenzeichen"/>
        </w:rPr>
        <w:footnoteRef/>
      </w:r>
      <w:r w:rsidRPr="00514AB2">
        <w:rPr>
          <w:lang w:val="de-DE"/>
        </w:rPr>
        <w:t xml:space="preserve"> </w:t>
      </w:r>
      <w:r>
        <w:rPr>
          <w:lang w:val="de-DE"/>
        </w:rPr>
        <w:t xml:space="preserve">Kopula: Verbindungsstück zwischen Subjekt und Prädikat in einem Urteil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25CAE"/>
    <w:multiLevelType w:val="hybridMultilevel"/>
    <w:tmpl w:val="3A80B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231B8A"/>
    <w:multiLevelType w:val="hybridMultilevel"/>
    <w:tmpl w:val="D25E1E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4FF81970"/>
    <w:multiLevelType w:val="hybridMultilevel"/>
    <w:tmpl w:val="167006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47B2E3D"/>
    <w:multiLevelType w:val="hybridMultilevel"/>
    <w:tmpl w:val="28EC2B2A"/>
    <w:lvl w:ilvl="0" w:tplc="04070001">
      <w:start w:val="1"/>
      <w:numFmt w:val="bullet"/>
      <w:lvlText w:val=""/>
      <w:lvlJc w:val="left"/>
      <w:pPr>
        <w:ind w:left="1066" w:hanging="360"/>
      </w:pPr>
      <w:rPr>
        <w:rFonts w:ascii="Symbol" w:hAnsi="Symbol" w:hint="default"/>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num w:numId="1">
    <w:abstractNumId w:val="1"/>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88"/>
    <w:rsid w:val="0000759C"/>
    <w:rsid w:val="00017B6D"/>
    <w:rsid w:val="000459D3"/>
    <w:rsid w:val="0004786D"/>
    <w:rsid w:val="00064E1B"/>
    <w:rsid w:val="00076EC9"/>
    <w:rsid w:val="00085756"/>
    <w:rsid w:val="00096C2A"/>
    <w:rsid w:val="000B5F31"/>
    <w:rsid w:val="000C69DA"/>
    <w:rsid w:val="000D5FD4"/>
    <w:rsid w:val="000F51DC"/>
    <w:rsid w:val="000F566A"/>
    <w:rsid w:val="00166EDA"/>
    <w:rsid w:val="00181603"/>
    <w:rsid w:val="0018247F"/>
    <w:rsid w:val="001B6E26"/>
    <w:rsid w:val="001C7369"/>
    <w:rsid w:val="00204142"/>
    <w:rsid w:val="00276989"/>
    <w:rsid w:val="002B61EE"/>
    <w:rsid w:val="002B7BE2"/>
    <w:rsid w:val="002C1C11"/>
    <w:rsid w:val="00312F1E"/>
    <w:rsid w:val="00341761"/>
    <w:rsid w:val="00365D75"/>
    <w:rsid w:val="003A0671"/>
    <w:rsid w:val="003D68C4"/>
    <w:rsid w:val="003F5E4A"/>
    <w:rsid w:val="00412CE4"/>
    <w:rsid w:val="00433051"/>
    <w:rsid w:val="004A1E64"/>
    <w:rsid w:val="004C072F"/>
    <w:rsid w:val="00514AB2"/>
    <w:rsid w:val="00564638"/>
    <w:rsid w:val="00565D86"/>
    <w:rsid w:val="005A0625"/>
    <w:rsid w:val="005B3C30"/>
    <w:rsid w:val="006310B1"/>
    <w:rsid w:val="006506D1"/>
    <w:rsid w:val="0069110A"/>
    <w:rsid w:val="006C7A64"/>
    <w:rsid w:val="0070371B"/>
    <w:rsid w:val="00752F7B"/>
    <w:rsid w:val="007A07F8"/>
    <w:rsid w:val="0080213E"/>
    <w:rsid w:val="0083044C"/>
    <w:rsid w:val="00865305"/>
    <w:rsid w:val="00880021"/>
    <w:rsid w:val="00880BD8"/>
    <w:rsid w:val="008827ED"/>
    <w:rsid w:val="008B78D2"/>
    <w:rsid w:val="0092689D"/>
    <w:rsid w:val="0093461D"/>
    <w:rsid w:val="00936B63"/>
    <w:rsid w:val="00954006"/>
    <w:rsid w:val="00A150B7"/>
    <w:rsid w:val="00A6151E"/>
    <w:rsid w:val="00AC2E60"/>
    <w:rsid w:val="00AD185D"/>
    <w:rsid w:val="00B665FD"/>
    <w:rsid w:val="00B9419D"/>
    <w:rsid w:val="00BC166C"/>
    <w:rsid w:val="00BE155A"/>
    <w:rsid w:val="00C07CA0"/>
    <w:rsid w:val="00C307D9"/>
    <w:rsid w:val="00C72B06"/>
    <w:rsid w:val="00C818DE"/>
    <w:rsid w:val="00C87399"/>
    <w:rsid w:val="00CB6A27"/>
    <w:rsid w:val="00CC6F6F"/>
    <w:rsid w:val="00D219E5"/>
    <w:rsid w:val="00D26F3D"/>
    <w:rsid w:val="00D47079"/>
    <w:rsid w:val="00D75CB7"/>
    <w:rsid w:val="00D93E3B"/>
    <w:rsid w:val="00DC2F88"/>
    <w:rsid w:val="00E07B9E"/>
    <w:rsid w:val="00E32EB3"/>
    <w:rsid w:val="00E66934"/>
    <w:rsid w:val="00EC5E93"/>
    <w:rsid w:val="00ED5BAE"/>
    <w:rsid w:val="00F06A09"/>
    <w:rsid w:val="00F2384F"/>
    <w:rsid w:val="00F377D8"/>
    <w:rsid w:val="00F37E3E"/>
    <w:rsid w:val="00F40253"/>
    <w:rsid w:val="00F43DD9"/>
    <w:rsid w:val="00F46C2A"/>
    <w:rsid w:val="00F77ACD"/>
    <w:rsid w:val="00FA211C"/>
    <w:rsid w:val="00FB4C7F"/>
    <w:rsid w:val="00FD33EE"/>
    <w:rsid w:val="00FD79FE"/>
    <w:rsid w:val="00FD7C60"/>
    <w:rsid w:val="00FF6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F88"/>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1C11"/>
    <w:pPr>
      <w:ind w:left="720"/>
      <w:contextualSpacing/>
    </w:pPr>
  </w:style>
  <w:style w:type="paragraph" w:styleId="KeinLeerraum">
    <w:name w:val="No Spacing"/>
    <w:uiPriority w:val="1"/>
    <w:qFormat/>
    <w:rsid w:val="002C1C11"/>
    <w:pPr>
      <w:spacing w:after="0"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14AB2"/>
    <w:rPr>
      <w:sz w:val="20"/>
      <w:szCs w:val="20"/>
    </w:rPr>
  </w:style>
  <w:style w:type="character" w:customStyle="1" w:styleId="FunotentextZchn">
    <w:name w:val="Fußnotentext Zchn"/>
    <w:basedOn w:val="Absatz-Standardschriftart"/>
    <w:link w:val="Funotentext"/>
    <w:uiPriority w:val="99"/>
    <w:semiHidden/>
    <w:rsid w:val="00514AB2"/>
    <w:rPr>
      <w:rFonts w:ascii="Times New Roman" w:eastAsia="PMingLiU" w:hAnsi="Times New Roman" w:cs="Times New Roman"/>
      <w:sz w:val="20"/>
      <w:szCs w:val="20"/>
      <w:lang w:val="en-US"/>
    </w:rPr>
  </w:style>
  <w:style w:type="character" w:styleId="Funotenzeichen">
    <w:name w:val="footnote reference"/>
    <w:basedOn w:val="Absatz-Standardschriftart"/>
    <w:uiPriority w:val="99"/>
    <w:semiHidden/>
    <w:unhideWhenUsed/>
    <w:rsid w:val="00514AB2"/>
    <w:rPr>
      <w:vertAlign w:val="superscript"/>
    </w:rPr>
  </w:style>
  <w:style w:type="character" w:styleId="Hyperlink">
    <w:name w:val="Hyperlink"/>
    <w:basedOn w:val="Absatz-Standardschriftart"/>
    <w:uiPriority w:val="99"/>
    <w:unhideWhenUsed/>
    <w:rsid w:val="00433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F88"/>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1C11"/>
    <w:pPr>
      <w:ind w:left="720"/>
      <w:contextualSpacing/>
    </w:pPr>
  </w:style>
  <w:style w:type="paragraph" w:styleId="KeinLeerraum">
    <w:name w:val="No Spacing"/>
    <w:uiPriority w:val="1"/>
    <w:qFormat/>
    <w:rsid w:val="002C1C11"/>
    <w:pPr>
      <w:spacing w:after="0" w:line="240" w:lineRule="auto"/>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514AB2"/>
    <w:rPr>
      <w:sz w:val="20"/>
      <w:szCs w:val="20"/>
    </w:rPr>
  </w:style>
  <w:style w:type="character" w:customStyle="1" w:styleId="FunotentextZchn">
    <w:name w:val="Fußnotentext Zchn"/>
    <w:basedOn w:val="Absatz-Standardschriftart"/>
    <w:link w:val="Funotentext"/>
    <w:uiPriority w:val="99"/>
    <w:semiHidden/>
    <w:rsid w:val="00514AB2"/>
    <w:rPr>
      <w:rFonts w:ascii="Times New Roman" w:eastAsia="PMingLiU" w:hAnsi="Times New Roman" w:cs="Times New Roman"/>
      <w:sz w:val="20"/>
      <w:szCs w:val="20"/>
      <w:lang w:val="en-US"/>
    </w:rPr>
  </w:style>
  <w:style w:type="character" w:styleId="Funotenzeichen">
    <w:name w:val="footnote reference"/>
    <w:basedOn w:val="Absatz-Standardschriftart"/>
    <w:uiPriority w:val="99"/>
    <w:semiHidden/>
    <w:unhideWhenUsed/>
    <w:rsid w:val="00514AB2"/>
    <w:rPr>
      <w:vertAlign w:val="superscript"/>
    </w:rPr>
  </w:style>
  <w:style w:type="character" w:styleId="Hyperlink">
    <w:name w:val="Hyperlink"/>
    <w:basedOn w:val="Absatz-Standardschriftart"/>
    <w:uiPriority w:val="99"/>
    <w:unhideWhenUsed/>
    <w:rsid w:val="004330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9B23-533B-4C25-A4E2-598F8212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48FDF8E2.dotm</Template>
  <TotalTime>0</TotalTime>
  <Pages>3</Pages>
  <Words>973</Words>
  <Characters>5568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Ulrich, Andrea</cp:lastModifiedBy>
  <cp:revision>4</cp:revision>
  <cp:lastPrinted>2013-02-22T10:16:00Z</cp:lastPrinted>
  <dcterms:created xsi:type="dcterms:W3CDTF">2013-07-23T11:59:00Z</dcterms:created>
  <dcterms:modified xsi:type="dcterms:W3CDTF">2013-09-03T13:34:00Z</dcterms:modified>
</cp:coreProperties>
</file>