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9" w:rsidRPr="005C2850" w:rsidRDefault="009115C4" w:rsidP="00400449">
      <w:pPr>
        <w:pBdr>
          <w:top w:val="single" w:sz="12" w:space="2" w:color="auto"/>
          <w:left w:val="single" w:sz="12" w:space="4" w:color="auto"/>
          <w:bottom w:val="single" w:sz="12" w:space="1" w:color="auto"/>
          <w:right w:val="single" w:sz="12" w:space="4" w:color="auto"/>
        </w:pBdr>
        <w:jc w:val="center"/>
        <w:rPr>
          <w:b/>
        </w:rPr>
      </w:pPr>
      <w:bookmarkStart w:id="0" w:name="_GoBack"/>
      <w:bookmarkEnd w:id="0"/>
      <w:r w:rsidRPr="005C2850">
        <w:rPr>
          <w:b/>
          <w:i/>
          <w:lang w:val="en-GB"/>
        </w:rPr>
        <w:t>Job till you drop</w:t>
      </w:r>
      <w:r w:rsidR="007C4FA9" w:rsidRPr="005C2850">
        <w:rPr>
          <w:b/>
          <w:lang w:val="en-GB"/>
        </w:rPr>
        <w:t xml:space="preserve">, </w:t>
      </w:r>
      <w:r w:rsidR="00400449" w:rsidRPr="005C2850">
        <w:rPr>
          <w:b/>
          <w:lang w:val="en-GB"/>
        </w:rPr>
        <w:t xml:space="preserve">Semester </w:t>
      </w:r>
      <w:r w:rsidRPr="005C2850">
        <w:rPr>
          <w:b/>
          <w:lang w:val="en-GB"/>
        </w:rPr>
        <w:t>2</w:t>
      </w:r>
      <w:r w:rsidR="00400449" w:rsidRPr="005C2850">
        <w:rPr>
          <w:b/>
          <w:lang w:val="en-GB"/>
        </w:rPr>
        <w:t>,</w:t>
      </w:r>
      <w:r w:rsidR="005C2850" w:rsidRPr="005C2850">
        <w:rPr>
          <w:b/>
          <w:lang w:val="en-GB"/>
        </w:rPr>
        <w:t xml:space="preserve"> 1. </w:t>
      </w:r>
      <w:r w:rsidR="005C2850">
        <w:rPr>
          <w:b/>
        </w:rPr>
        <w:t xml:space="preserve">Quartal, </w:t>
      </w:r>
      <w:r w:rsidR="00400449" w:rsidRPr="005C2850">
        <w:rPr>
          <w:b/>
        </w:rPr>
        <w:t xml:space="preserve">Einheit </w:t>
      </w:r>
      <w:r w:rsidR="005C2850" w:rsidRPr="005C2850">
        <w:rPr>
          <w:b/>
        </w:rPr>
        <w:t>3</w:t>
      </w:r>
    </w:p>
    <w:p w:rsidR="00400449" w:rsidRPr="005C2850" w:rsidRDefault="00400449" w:rsidP="00400449">
      <w:pPr>
        <w:pBdr>
          <w:top w:val="single" w:sz="12" w:space="2" w:color="auto"/>
          <w:left w:val="single" w:sz="12" w:space="4" w:color="auto"/>
          <w:bottom w:val="single" w:sz="12" w:space="1" w:color="auto"/>
          <w:right w:val="single" w:sz="12" w:space="4" w:color="auto"/>
        </w:pBdr>
        <w:jc w:val="center"/>
        <w:rPr>
          <w:b/>
        </w:rPr>
      </w:pPr>
    </w:p>
    <w:p w:rsidR="00400449" w:rsidRPr="005C2850" w:rsidRDefault="00400449" w:rsidP="00400449">
      <w:pPr>
        <w:jc w:val="center"/>
        <w:rPr>
          <w:b/>
        </w:rPr>
      </w:pPr>
    </w:p>
    <w:p w:rsidR="00400449" w:rsidRPr="005C2850" w:rsidRDefault="00400449" w:rsidP="00400449">
      <w:pPr>
        <w:jc w:val="left"/>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6844"/>
      </w:tblGrid>
      <w:tr w:rsidR="00400449" w:rsidRPr="00D346BC" w:rsidTr="00B05EBA">
        <w:tc>
          <w:tcPr>
            <w:tcW w:w="2444"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6844" w:type="dxa"/>
            <w:tcBorders>
              <w:left w:val="single" w:sz="12" w:space="0" w:color="auto"/>
            </w:tcBorders>
          </w:tcPr>
          <w:p w:rsidR="00400449" w:rsidRPr="00400449" w:rsidRDefault="009115C4" w:rsidP="00310BA4">
            <w:pPr>
              <w:spacing w:before="120" w:after="120"/>
              <w:jc w:val="left"/>
              <w:rPr>
                <w:i/>
              </w:rPr>
            </w:pPr>
            <w:r>
              <w:rPr>
                <w:i/>
              </w:rPr>
              <w:t>Work placement</w:t>
            </w:r>
          </w:p>
        </w:tc>
      </w:tr>
      <w:tr w:rsidR="00400449" w:rsidRPr="00D346BC" w:rsidTr="00B05EBA">
        <w:tc>
          <w:tcPr>
            <w:tcW w:w="2444"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Pr>
                <w:b/>
              </w:rPr>
              <w:t>Schwerpunkt-k</w:t>
            </w:r>
            <w:r w:rsidRPr="00D346BC">
              <w:rPr>
                <w:b/>
              </w:rPr>
              <w:t>ompetenz</w:t>
            </w:r>
            <w:r>
              <w:rPr>
                <w:b/>
              </w:rPr>
              <w:t>(en)</w:t>
            </w:r>
            <w:r w:rsidRPr="00D346BC">
              <w:rPr>
                <w:b/>
              </w:rPr>
              <w:t>:</w:t>
            </w:r>
          </w:p>
        </w:tc>
        <w:tc>
          <w:tcPr>
            <w:tcW w:w="6844" w:type="dxa"/>
            <w:tcBorders>
              <w:left w:val="single" w:sz="12" w:space="0" w:color="auto"/>
            </w:tcBorders>
          </w:tcPr>
          <w:p w:rsidR="00632AB7" w:rsidRPr="00FF5F94" w:rsidRDefault="007C4FA9" w:rsidP="00632AB7">
            <w:pPr>
              <w:spacing w:before="120" w:after="120"/>
              <w:jc w:val="left"/>
            </w:pPr>
            <w:r>
              <w:fldChar w:fldCharType="begin">
                <w:ffData>
                  <w:name w:val="Kontrollkästchen6"/>
                  <w:enabled/>
                  <w:calcOnExit w:val="0"/>
                  <w:checkBox>
                    <w:sizeAuto/>
                    <w:default w:val="1"/>
                  </w:checkBox>
                </w:ffData>
              </w:fldChar>
            </w:r>
            <w:bookmarkStart w:id="1" w:name="Kontrollkästchen6"/>
            <w:r>
              <w:instrText xml:space="preserve"> FORMCHECKBOX </w:instrText>
            </w:r>
            <w:r>
              <w:fldChar w:fldCharType="end"/>
            </w:r>
            <w:bookmarkEnd w:id="1"/>
            <w:r w:rsidR="00632AB7">
              <w:t xml:space="preserve"> Sprechen</w:t>
            </w:r>
          </w:p>
          <w:bookmarkStart w:id="2" w:name="Kontrollkästchen4"/>
          <w:p w:rsidR="00632AB7" w:rsidRPr="00FF5F94" w:rsidRDefault="009115C4" w:rsidP="00632AB7">
            <w:pPr>
              <w:spacing w:before="120" w:after="120"/>
              <w:jc w:val="left"/>
            </w:pPr>
            <w:r>
              <w:fldChar w:fldCharType="begin">
                <w:ffData>
                  <w:name w:val="Kontrollkästchen4"/>
                  <w:enabled/>
                  <w:calcOnExit w:val="0"/>
                  <w:checkBox>
                    <w:sizeAuto/>
                    <w:default w:val="1"/>
                  </w:checkBox>
                </w:ffData>
              </w:fldChar>
            </w:r>
            <w:r>
              <w:instrText xml:space="preserve"> FORMCHECKBOX </w:instrText>
            </w:r>
            <w:r>
              <w:fldChar w:fldCharType="end"/>
            </w:r>
            <w:bookmarkEnd w:id="2"/>
            <w:r w:rsidR="00632AB7" w:rsidRPr="00FF5F94">
              <w:t xml:space="preserve"> Sprachmittlung</w:t>
            </w:r>
          </w:p>
          <w:p w:rsidR="00632AB7" w:rsidRDefault="00632AB7" w:rsidP="00632AB7">
            <w:pPr>
              <w:spacing w:before="120" w:after="120"/>
              <w:jc w:val="left"/>
              <w:rPr>
                <w:b/>
              </w:rPr>
            </w:pPr>
            <w:r>
              <w:fldChar w:fldCharType="begin">
                <w:ffData>
                  <w:name w:val=""/>
                  <w:enabled/>
                  <w:calcOnExit w:val="0"/>
                  <w:checkBox>
                    <w:sizeAuto/>
                    <w:default w:val="1"/>
                  </w:checkBox>
                </w:ffData>
              </w:fldChar>
            </w:r>
            <w:r>
              <w:instrText xml:space="preserve"> FORMCHECKBOX </w:instrText>
            </w:r>
            <w:r>
              <w:fldChar w:fldCharType="end"/>
            </w:r>
            <w:r>
              <w:t xml:space="preserve"> Handeln in Begegnungssituationen</w:t>
            </w:r>
          </w:p>
          <w:p w:rsidR="00632AB7" w:rsidRDefault="00632AB7" w:rsidP="00632AB7">
            <w:pPr>
              <w:spacing w:before="120" w:after="120"/>
              <w:jc w:val="left"/>
            </w:pPr>
            <w:r>
              <w:fldChar w:fldCharType="begin">
                <w:ffData>
                  <w:name w:val=""/>
                  <w:enabled/>
                  <w:calcOnExit w:val="0"/>
                  <w:checkBox>
                    <w:sizeAuto/>
                    <w:default w:val="1"/>
                  </w:checkBox>
                </w:ffData>
              </w:fldChar>
            </w:r>
            <w:r>
              <w:instrText xml:space="preserve"> FORMCHECKBOX </w:instrText>
            </w:r>
            <w:r>
              <w:fldChar w:fldCharType="end"/>
            </w:r>
            <w:r w:rsidRPr="00FF5F94">
              <w:t xml:space="preserve"> </w:t>
            </w:r>
            <w:r w:rsidRPr="00B82D94">
              <w:t>Umgang mit Texten und Medien</w:t>
            </w:r>
          </w:p>
          <w:p w:rsidR="00400449" w:rsidRPr="00A17AE7" w:rsidRDefault="00632AB7" w:rsidP="00632AB7">
            <w:pPr>
              <w:spacing w:before="120" w:after="120"/>
              <w:jc w:val="left"/>
            </w:pPr>
            <w:r>
              <w:fldChar w:fldCharType="begin">
                <w:ffData>
                  <w:name w:val=""/>
                  <w:enabled/>
                  <w:calcOnExit w:val="0"/>
                  <w:checkBox>
                    <w:sizeAuto/>
                    <w:default w:val="1"/>
                  </w:checkBox>
                </w:ffData>
              </w:fldChar>
            </w:r>
            <w:r>
              <w:instrText xml:space="preserve"> FORMCHECKBOX </w:instrText>
            </w:r>
            <w:r>
              <w:fldChar w:fldCharType="end"/>
            </w:r>
            <w:r>
              <w:t xml:space="preserve"> </w:t>
            </w:r>
            <w:r w:rsidRPr="00B82D94">
              <w:rPr>
                <w:rFonts w:cs="Arial"/>
                <w:szCs w:val="24"/>
              </w:rPr>
              <w:t>Selbstständiges und kooperatives Sprachenlernen</w:t>
            </w:r>
          </w:p>
        </w:tc>
      </w:tr>
      <w:tr w:rsidR="00B05EBA" w:rsidRPr="00B05EBA" w:rsidTr="00B05EBA">
        <w:trPr>
          <w:trHeight w:val="458"/>
        </w:trPr>
        <w:tc>
          <w:tcPr>
            <w:tcW w:w="2444" w:type="dxa"/>
            <w:vMerge w:val="restart"/>
            <w:tcBorders>
              <w:top w:val="single" w:sz="4" w:space="0" w:color="auto"/>
              <w:right w:val="single" w:sz="12" w:space="0" w:color="auto"/>
            </w:tcBorders>
            <w:shd w:val="clear" w:color="auto" w:fill="C0C0C0"/>
          </w:tcPr>
          <w:p w:rsidR="00B05EBA" w:rsidRPr="00D346BC" w:rsidRDefault="00B05EBA" w:rsidP="00310BA4">
            <w:pPr>
              <w:spacing w:before="120" w:after="120"/>
              <w:jc w:val="left"/>
              <w:rPr>
                <w:b/>
                <w:lang w:val="en-GB"/>
              </w:rPr>
            </w:pPr>
            <w:r>
              <w:rPr>
                <w:b/>
                <w:lang w:val="en-GB"/>
              </w:rPr>
              <w:t xml:space="preserve">Bezug zum KLP: </w:t>
            </w:r>
          </w:p>
        </w:tc>
        <w:tc>
          <w:tcPr>
            <w:tcW w:w="6844" w:type="dxa"/>
            <w:tcBorders>
              <w:left w:val="single" w:sz="12" w:space="0" w:color="auto"/>
            </w:tcBorders>
            <w:shd w:val="clear" w:color="auto" w:fill="auto"/>
          </w:tcPr>
          <w:p w:rsidR="00B05EBA" w:rsidRPr="00B05EBA" w:rsidRDefault="00B05EBA"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B05EBA" w:rsidRPr="00D346BC" w:rsidTr="00002AD1">
        <w:trPr>
          <w:trHeight w:val="457"/>
        </w:trPr>
        <w:tc>
          <w:tcPr>
            <w:tcW w:w="2444" w:type="dxa"/>
            <w:vMerge/>
            <w:tcBorders>
              <w:right w:val="single" w:sz="12" w:space="0" w:color="auto"/>
            </w:tcBorders>
            <w:shd w:val="clear" w:color="auto" w:fill="C0C0C0"/>
          </w:tcPr>
          <w:p w:rsidR="00B05EBA" w:rsidRPr="00B05EBA" w:rsidRDefault="00B05EBA" w:rsidP="00310BA4">
            <w:pPr>
              <w:spacing w:before="120" w:after="120"/>
              <w:jc w:val="left"/>
              <w:rPr>
                <w:b/>
              </w:rPr>
            </w:pPr>
          </w:p>
        </w:tc>
        <w:tc>
          <w:tcPr>
            <w:tcW w:w="6844" w:type="dxa"/>
            <w:tcBorders>
              <w:left w:val="single" w:sz="12" w:space="0" w:color="auto"/>
            </w:tcBorders>
            <w:shd w:val="clear" w:color="auto" w:fill="C0C0C0"/>
          </w:tcPr>
          <w:p w:rsidR="00B05EBA" w:rsidRPr="00400449" w:rsidRDefault="00B05EBA" w:rsidP="00002AD1">
            <w:pPr>
              <w:spacing w:before="120" w:after="120"/>
              <w:jc w:val="left"/>
              <w:rPr>
                <w:b/>
                <w:lang w:val="en-GB"/>
              </w:rPr>
            </w:pPr>
            <w:r w:rsidRPr="00400449">
              <w:rPr>
                <w:b/>
                <w:lang w:val="en-GB"/>
              </w:rPr>
              <w:t>Kommunikative Kompetenzen</w:t>
            </w:r>
          </w:p>
        </w:tc>
      </w:tr>
      <w:tr w:rsidR="00B05EBA" w:rsidRPr="007C4FA9" w:rsidTr="00B05EBA">
        <w:trPr>
          <w:trHeight w:val="183"/>
        </w:trPr>
        <w:tc>
          <w:tcPr>
            <w:tcW w:w="2444" w:type="dxa"/>
            <w:vMerge/>
            <w:tcBorders>
              <w:right w:val="single" w:sz="12" w:space="0" w:color="auto"/>
            </w:tcBorders>
            <w:shd w:val="clear" w:color="auto" w:fill="C0C0C0"/>
          </w:tcPr>
          <w:p w:rsidR="00B05EBA" w:rsidRDefault="00B05EBA" w:rsidP="00310BA4">
            <w:pPr>
              <w:spacing w:before="120" w:after="120"/>
              <w:jc w:val="left"/>
              <w:rPr>
                <w:b/>
                <w:lang w:val="en-GB"/>
              </w:rPr>
            </w:pPr>
          </w:p>
        </w:tc>
        <w:tc>
          <w:tcPr>
            <w:tcW w:w="6844" w:type="dxa"/>
            <w:tcBorders>
              <w:left w:val="single" w:sz="12" w:space="0" w:color="auto"/>
            </w:tcBorders>
          </w:tcPr>
          <w:p w:rsidR="00B05EBA" w:rsidRDefault="00B05EBA" w:rsidP="009115C4">
            <w:pPr>
              <w:tabs>
                <w:tab w:val="num" w:pos="0"/>
              </w:tabs>
              <w:jc w:val="left"/>
              <w:rPr>
                <w:u w:val="single"/>
              </w:rPr>
            </w:pPr>
            <w:r w:rsidRPr="00C2635C">
              <w:rPr>
                <w:u w:val="single"/>
              </w:rPr>
              <w:t>Leseverstehen</w:t>
            </w:r>
          </w:p>
          <w:p w:rsidR="00B05EBA" w:rsidRDefault="00B05EBA" w:rsidP="009115C4">
            <w:pPr>
              <w:tabs>
                <w:tab w:val="num" w:pos="0"/>
              </w:tabs>
              <w:spacing w:before="120"/>
              <w:jc w:val="left"/>
            </w:pPr>
            <w:r w:rsidRPr="00D21019">
              <w:t>Sie können</w:t>
            </w:r>
          </w:p>
          <w:p w:rsidR="00B05EBA" w:rsidRDefault="00B05EBA" w:rsidP="00C2635C">
            <w:pPr>
              <w:numPr>
                <w:ilvl w:val="0"/>
                <w:numId w:val="6"/>
              </w:numPr>
              <w:jc w:val="left"/>
            </w:pPr>
            <w:r>
              <w:t xml:space="preserve">klar strukturierten, </w:t>
            </w:r>
            <w:r w:rsidRPr="00516405">
              <w:t>authentischen Sach- und Gebrauchstexten sowie Te</w:t>
            </w:r>
            <w:r w:rsidRPr="00516405">
              <w:t>x</w:t>
            </w:r>
            <w:r w:rsidRPr="00516405">
              <w:t>ten der öffentlichen und privaten</w:t>
            </w:r>
            <w:r>
              <w:rPr>
                <w:color w:val="FF0000"/>
              </w:rPr>
              <w:t xml:space="preserve"> </w:t>
            </w:r>
            <w:r w:rsidRPr="00D21019">
              <w:t>Kommunikation</w:t>
            </w:r>
            <w:r>
              <w:t xml:space="preserve"> </w:t>
            </w:r>
            <w:r w:rsidRPr="00516405">
              <w:t>(</w:t>
            </w:r>
            <w:r>
              <w:t>u. a.</w:t>
            </w:r>
            <w:r w:rsidRPr="00516405">
              <w:t xml:space="preserve"> Zeitungsartikel,</w:t>
            </w:r>
            <w:r>
              <w:t xml:space="preserve"> Brief)</w:t>
            </w:r>
            <w:r w:rsidRPr="00D21019">
              <w:t xml:space="preserve"> </w:t>
            </w:r>
            <w:r>
              <w:t xml:space="preserve">Haupt- und Detailinformationen entnehmen sowie </w:t>
            </w:r>
            <w:r w:rsidRPr="00D21019">
              <w:t>Einzelinformationen in den Kont</w:t>
            </w:r>
            <w:r>
              <w:t>ext der Gesamtaussage ei</w:t>
            </w:r>
            <w:r>
              <w:t>n</w:t>
            </w:r>
            <w:r>
              <w:t>ordnen.</w:t>
            </w:r>
          </w:p>
          <w:p w:rsidR="00B05EBA" w:rsidRDefault="00B05EBA" w:rsidP="009115C4">
            <w:pPr>
              <w:ind w:left="74"/>
              <w:jc w:val="left"/>
            </w:pPr>
          </w:p>
          <w:p w:rsidR="00B05EBA" w:rsidRDefault="00B05EBA" w:rsidP="009115C4">
            <w:pPr>
              <w:spacing w:after="120"/>
              <w:ind w:left="74"/>
              <w:jc w:val="left"/>
              <w:rPr>
                <w:u w:val="single"/>
              </w:rPr>
            </w:pPr>
            <w:r w:rsidRPr="009115C4">
              <w:rPr>
                <w:u w:val="single"/>
              </w:rPr>
              <w:t>Sprachmittlung</w:t>
            </w:r>
          </w:p>
          <w:p w:rsidR="00B05EBA" w:rsidRPr="009115C4" w:rsidRDefault="00B05EBA" w:rsidP="009115C4">
            <w:pPr>
              <w:ind w:left="74"/>
              <w:jc w:val="left"/>
            </w:pPr>
            <w:r>
              <w:t>Sie können</w:t>
            </w:r>
          </w:p>
          <w:p w:rsidR="00B05EBA" w:rsidRDefault="00B05EBA" w:rsidP="009115C4">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rsidRPr="008A32F2">
              <w:t>den Inhalt von einfachen Sach- u</w:t>
            </w:r>
            <w:r>
              <w:t xml:space="preserve">nd Gebrauchstexten </w:t>
            </w:r>
            <w:r w:rsidRPr="008A32F2">
              <w:t>in der jeweils anderen Sprache sin</w:t>
            </w:r>
            <w:r w:rsidRPr="008A32F2">
              <w:t>n</w:t>
            </w:r>
            <w:r w:rsidRPr="008A32F2">
              <w:t>gemäß wiedergeben, sofern ihnen die Zusammenhänge ve</w:t>
            </w:r>
            <w:r w:rsidRPr="008A32F2">
              <w:t>r</w:t>
            </w:r>
            <w:r w:rsidRPr="008A32F2">
              <w:t>traut sind</w:t>
            </w:r>
            <w:r>
              <w:t>.</w:t>
            </w:r>
          </w:p>
          <w:p w:rsidR="00B05EBA" w:rsidRDefault="00B05EBA" w:rsidP="0091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6"/>
                <w:szCs w:val="26"/>
              </w:rPr>
            </w:pPr>
          </w:p>
          <w:p w:rsidR="00B05EBA" w:rsidRPr="00737D76" w:rsidRDefault="00B05EBA" w:rsidP="009115C4">
            <w:pPr>
              <w:spacing w:after="120"/>
              <w:rPr>
                <w:u w:val="single"/>
              </w:rPr>
            </w:pPr>
            <w:r w:rsidRPr="00737D76">
              <w:rPr>
                <w:u w:val="single"/>
              </w:rPr>
              <w:t xml:space="preserve">Sprechen: </w:t>
            </w:r>
            <w:r>
              <w:rPr>
                <w:u w:val="single"/>
              </w:rPr>
              <w:t>zusammenhängendes Sprechen</w:t>
            </w:r>
          </w:p>
          <w:p w:rsidR="00B05EBA" w:rsidRPr="009115C4" w:rsidRDefault="00B05EBA" w:rsidP="0091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Cs/>
                <w:color w:val="000000"/>
                <w:sz w:val="26"/>
                <w:szCs w:val="26"/>
              </w:rPr>
            </w:pPr>
            <w:r>
              <w:rPr>
                <w:rFonts w:cs="Arial"/>
                <w:bCs/>
                <w:color w:val="000000"/>
                <w:sz w:val="26"/>
                <w:szCs w:val="26"/>
              </w:rPr>
              <w:t>Sie können</w:t>
            </w:r>
          </w:p>
          <w:p w:rsidR="00B05EBA" w:rsidRDefault="00B05EBA" w:rsidP="009115C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Inhalte von gelesenen und gehörten Texten bzw. Filmsequenzen </w:t>
            </w:r>
          </w:p>
          <w:p w:rsidR="00B05EBA" w:rsidRDefault="00B05EBA" w:rsidP="009115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jc w:val="left"/>
              <w:rPr>
                <w:rFonts w:cs="Arial"/>
                <w:color w:val="000000"/>
                <w:szCs w:val="24"/>
              </w:rPr>
            </w:pPr>
            <w:r>
              <w:rPr>
                <w:rFonts w:cs="Arial"/>
                <w:color w:val="000000"/>
                <w:szCs w:val="24"/>
              </w:rPr>
              <w:tab/>
              <w:t>zusammenfassend wiedergeben,</w:t>
            </w:r>
          </w:p>
          <w:p w:rsidR="00B05EBA" w:rsidRDefault="00B05EBA" w:rsidP="00737D76">
            <w:pPr>
              <w:spacing w:after="120"/>
              <w:rPr>
                <w:u w:val="single"/>
              </w:rPr>
            </w:pPr>
          </w:p>
          <w:p w:rsidR="00B05EBA" w:rsidRPr="00737D76" w:rsidRDefault="00B05EBA" w:rsidP="00737D76">
            <w:pPr>
              <w:spacing w:after="120"/>
              <w:rPr>
                <w:u w:val="single"/>
              </w:rPr>
            </w:pPr>
            <w:r w:rsidRPr="00737D76">
              <w:rPr>
                <w:u w:val="single"/>
              </w:rPr>
              <w:t>Sprechen: An Gesprächen teilnehmen</w:t>
            </w:r>
          </w:p>
          <w:p w:rsidR="00B05EBA" w:rsidRPr="00737D76" w:rsidRDefault="00B05EBA" w:rsidP="00737D76">
            <w:r>
              <w:t>Sie können</w:t>
            </w:r>
          </w:p>
          <w:p w:rsidR="00B05EBA" w:rsidRPr="007C4FA9" w:rsidRDefault="00B05EBA" w:rsidP="00737D76">
            <w:pPr>
              <w:numPr>
                <w:ilvl w:val="0"/>
                <w:numId w:val="7"/>
              </w:numPr>
              <w:spacing w:before="120" w:after="120"/>
              <w:jc w:val="left"/>
              <w:rPr>
                <w:b/>
                <w:i/>
                <w:u w:val="single"/>
              </w:rPr>
            </w:pPr>
            <w:r>
              <w:t xml:space="preserve">anwendungsorientierte – auch formalisierte – </w:t>
            </w:r>
            <w:r>
              <w:lastRenderedPageBreak/>
              <w:t>Gesprächssituationen  b</w:t>
            </w:r>
            <w:r>
              <w:t>e</w:t>
            </w:r>
            <w:r>
              <w:t>wältigen (u. a. Bewerbungsgespräch).</w:t>
            </w:r>
          </w:p>
        </w:tc>
      </w:tr>
      <w:tr w:rsidR="00B05EBA" w:rsidRPr="00D346BC" w:rsidTr="00B05EBA">
        <w:trPr>
          <w:trHeight w:val="183"/>
        </w:trPr>
        <w:tc>
          <w:tcPr>
            <w:tcW w:w="2444" w:type="dxa"/>
            <w:vMerge/>
            <w:tcBorders>
              <w:right w:val="single" w:sz="12" w:space="0" w:color="auto"/>
            </w:tcBorders>
            <w:shd w:val="clear" w:color="auto" w:fill="C0C0C0"/>
          </w:tcPr>
          <w:p w:rsidR="00B05EBA" w:rsidRPr="007C4FA9" w:rsidRDefault="00B05EBA" w:rsidP="00310BA4">
            <w:pPr>
              <w:spacing w:before="120" w:after="120"/>
              <w:jc w:val="left"/>
              <w:rPr>
                <w:b/>
              </w:rPr>
            </w:pPr>
          </w:p>
        </w:tc>
        <w:tc>
          <w:tcPr>
            <w:tcW w:w="6844" w:type="dxa"/>
            <w:tcBorders>
              <w:left w:val="single" w:sz="12" w:space="0" w:color="auto"/>
            </w:tcBorders>
            <w:shd w:val="clear" w:color="auto" w:fill="C0C0C0"/>
          </w:tcPr>
          <w:p w:rsidR="00B05EBA" w:rsidRPr="00400449" w:rsidRDefault="00B05EBA" w:rsidP="00310BA4">
            <w:pPr>
              <w:spacing w:before="120" w:after="120"/>
              <w:jc w:val="left"/>
              <w:rPr>
                <w:b/>
                <w:lang w:val="en-GB"/>
              </w:rPr>
            </w:pPr>
            <w:r w:rsidRPr="00400449">
              <w:rPr>
                <w:b/>
                <w:lang w:val="en-GB"/>
              </w:rPr>
              <w:t>Interkulturelle Kompetenzen</w:t>
            </w:r>
          </w:p>
        </w:tc>
      </w:tr>
      <w:tr w:rsidR="00B05EBA" w:rsidRPr="00737D76" w:rsidTr="00B05EBA">
        <w:trPr>
          <w:trHeight w:val="183"/>
        </w:trPr>
        <w:tc>
          <w:tcPr>
            <w:tcW w:w="2444" w:type="dxa"/>
            <w:vMerge/>
            <w:tcBorders>
              <w:right w:val="single" w:sz="12" w:space="0" w:color="auto"/>
            </w:tcBorders>
            <w:shd w:val="clear" w:color="auto" w:fill="C0C0C0"/>
          </w:tcPr>
          <w:p w:rsidR="00B05EBA" w:rsidRDefault="00B05EBA" w:rsidP="00310BA4">
            <w:pPr>
              <w:spacing w:before="120" w:after="120"/>
              <w:jc w:val="left"/>
              <w:rPr>
                <w:b/>
                <w:lang w:val="en-GB"/>
              </w:rPr>
            </w:pPr>
          </w:p>
        </w:tc>
        <w:tc>
          <w:tcPr>
            <w:tcW w:w="6844" w:type="dxa"/>
            <w:tcBorders>
              <w:left w:val="single" w:sz="12" w:space="0" w:color="auto"/>
            </w:tcBorders>
          </w:tcPr>
          <w:p w:rsidR="00B05EBA" w:rsidRDefault="00B05EBA" w:rsidP="00310BA4">
            <w:pPr>
              <w:spacing w:before="120" w:after="120"/>
              <w:jc w:val="left"/>
              <w:rPr>
                <w:u w:val="single"/>
                <w:lang w:val="en-GB"/>
              </w:rPr>
            </w:pPr>
            <w:r w:rsidRPr="00737D76">
              <w:rPr>
                <w:u w:val="single"/>
                <w:lang w:val="en-GB"/>
              </w:rPr>
              <w:t>Handeln in Begegnungssituationen</w:t>
            </w:r>
          </w:p>
          <w:p w:rsidR="00B05EBA" w:rsidRDefault="00B05EBA" w:rsidP="00737D7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left"/>
              <w:rPr>
                <w:rFonts w:cs="Arial"/>
                <w:szCs w:val="24"/>
              </w:rPr>
            </w:pPr>
            <w:r w:rsidRPr="00F917A9">
              <w:rPr>
                <w:rFonts w:cs="Arial"/>
                <w:szCs w:val="24"/>
              </w:rPr>
              <w:t>in Begegnungssituationen im eigenen Umfeld, z.</w:t>
            </w:r>
            <w:r>
              <w:rPr>
                <w:rFonts w:cs="Arial"/>
                <w:szCs w:val="24"/>
              </w:rPr>
              <w:t xml:space="preserve"> </w:t>
            </w:r>
            <w:r w:rsidRPr="00F917A9">
              <w:rPr>
                <w:rFonts w:cs="Arial"/>
                <w:szCs w:val="24"/>
              </w:rPr>
              <w:t>B. in Berufspraktika, auf Reisen oder in Telefongesprächen gängige kulturspezifische Konventi</w:t>
            </w:r>
            <w:r w:rsidRPr="00F917A9">
              <w:rPr>
                <w:rFonts w:cs="Arial"/>
                <w:szCs w:val="24"/>
              </w:rPr>
              <w:t>o</w:t>
            </w:r>
            <w:r w:rsidRPr="00F917A9">
              <w:rPr>
                <w:rFonts w:cs="Arial"/>
                <w:szCs w:val="24"/>
              </w:rPr>
              <w:t>nen</w:t>
            </w:r>
            <w:r>
              <w:rPr>
                <w:rFonts w:cs="Arial"/>
                <w:szCs w:val="24"/>
              </w:rPr>
              <w:t>,</w:t>
            </w:r>
            <w:r w:rsidRPr="00F917A9">
              <w:rPr>
                <w:rFonts w:cs="Arial"/>
                <w:szCs w:val="24"/>
              </w:rPr>
              <w:t xml:space="preserve"> u.</w:t>
            </w:r>
            <w:r>
              <w:rPr>
                <w:rFonts w:cs="Arial"/>
                <w:szCs w:val="24"/>
              </w:rPr>
              <w:t> </w:t>
            </w:r>
            <w:r w:rsidRPr="00F917A9">
              <w:rPr>
                <w:rFonts w:cs="Arial"/>
                <w:szCs w:val="24"/>
              </w:rPr>
              <w:t>a. Höflichkeitsformeln, beachten  und dabei ein grundlegendes Repertoire an kulturspezifischen Verhaltensweisen und Interaktionsregeln (u. a. Begrüßen, Verabschieden</w:t>
            </w:r>
            <w:r>
              <w:rPr>
                <w:rFonts w:cs="Arial"/>
                <w:szCs w:val="24"/>
              </w:rPr>
              <w:t>, Höflichkeit</w:t>
            </w:r>
            <w:r>
              <w:rPr>
                <w:rFonts w:cs="Arial"/>
                <w:szCs w:val="24"/>
              </w:rPr>
              <w:t>s</w:t>
            </w:r>
            <w:r>
              <w:rPr>
                <w:rFonts w:cs="Arial"/>
                <w:szCs w:val="24"/>
              </w:rPr>
              <w:t>formeln) anwenden.</w:t>
            </w:r>
          </w:p>
          <w:p w:rsidR="00B05EBA" w:rsidRDefault="00B05EBA" w:rsidP="00CD52B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rPr>
            </w:pPr>
            <w:r>
              <w:rPr>
                <w:rFonts w:cs="Arial"/>
                <w:szCs w:val="24"/>
              </w:rPr>
              <w:t>sich auch mit Blick auf mögliche Missverständnisse und Konflikte einfühlsam im Umgang mit a</w:t>
            </w:r>
            <w:r>
              <w:rPr>
                <w:rFonts w:cs="Arial"/>
                <w:szCs w:val="24"/>
              </w:rPr>
              <w:t>n</w:t>
            </w:r>
            <w:r>
              <w:rPr>
                <w:rFonts w:cs="Arial"/>
                <w:szCs w:val="24"/>
              </w:rPr>
              <w:t>deren verhalten,</w:t>
            </w:r>
          </w:p>
          <w:p w:rsidR="00B05EBA" w:rsidRPr="00737D76" w:rsidRDefault="00B05EBA" w:rsidP="00CD52B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left"/>
              <w:rPr>
                <w:rFonts w:cs="Arial"/>
                <w:szCs w:val="24"/>
              </w:rPr>
            </w:pPr>
            <w:r>
              <w:rPr>
                <w:rFonts w:cs="Arial"/>
                <w:szCs w:val="24"/>
              </w:rPr>
              <w:t>notwendige Erläuterungen kultureller Besonderheiten zur Vermeidung von Missverständnissen geben.</w:t>
            </w:r>
          </w:p>
        </w:tc>
      </w:tr>
      <w:tr w:rsidR="00B05EBA" w:rsidRPr="00400449" w:rsidTr="00B05EBA">
        <w:trPr>
          <w:trHeight w:val="265"/>
        </w:trPr>
        <w:tc>
          <w:tcPr>
            <w:tcW w:w="2444" w:type="dxa"/>
            <w:vMerge/>
            <w:tcBorders>
              <w:right w:val="single" w:sz="12" w:space="0" w:color="auto"/>
            </w:tcBorders>
            <w:shd w:val="clear" w:color="auto" w:fill="C0C0C0"/>
          </w:tcPr>
          <w:p w:rsidR="00B05EBA" w:rsidRPr="00737D76" w:rsidRDefault="00B05EBA" w:rsidP="00310BA4">
            <w:pPr>
              <w:spacing w:before="120" w:after="120"/>
              <w:jc w:val="left"/>
              <w:rPr>
                <w:b/>
              </w:rPr>
            </w:pPr>
          </w:p>
        </w:tc>
        <w:tc>
          <w:tcPr>
            <w:tcW w:w="6844" w:type="dxa"/>
            <w:tcBorders>
              <w:left w:val="single" w:sz="12" w:space="0" w:color="auto"/>
            </w:tcBorders>
            <w:shd w:val="clear" w:color="auto" w:fill="C0C0C0"/>
          </w:tcPr>
          <w:p w:rsidR="00B05EBA" w:rsidRPr="00400449" w:rsidRDefault="00B05EBA" w:rsidP="00310BA4">
            <w:pPr>
              <w:spacing w:before="120" w:after="120"/>
              <w:jc w:val="left"/>
              <w:rPr>
                <w:b/>
              </w:rPr>
            </w:pPr>
            <w:r w:rsidRPr="00400449">
              <w:rPr>
                <w:b/>
              </w:rPr>
              <w:t>Kompetenzen der Verfügbarkeit sprachlicher Mittel und der Sprachbewusstheit</w:t>
            </w:r>
          </w:p>
        </w:tc>
      </w:tr>
      <w:tr w:rsidR="00B05EBA" w:rsidRPr="00400449" w:rsidTr="00B05EBA">
        <w:trPr>
          <w:trHeight w:val="265"/>
        </w:trPr>
        <w:tc>
          <w:tcPr>
            <w:tcW w:w="2444" w:type="dxa"/>
            <w:vMerge/>
            <w:tcBorders>
              <w:right w:val="single" w:sz="12" w:space="0" w:color="auto"/>
            </w:tcBorders>
            <w:shd w:val="clear" w:color="auto" w:fill="C0C0C0"/>
          </w:tcPr>
          <w:p w:rsidR="00B05EBA" w:rsidRPr="00737D76" w:rsidRDefault="00B05EBA" w:rsidP="00310BA4">
            <w:pPr>
              <w:spacing w:before="120" w:after="120"/>
              <w:jc w:val="left"/>
              <w:rPr>
                <w:b/>
              </w:rPr>
            </w:pPr>
          </w:p>
        </w:tc>
        <w:tc>
          <w:tcPr>
            <w:tcW w:w="6844" w:type="dxa"/>
            <w:tcBorders>
              <w:left w:val="single" w:sz="12" w:space="0" w:color="auto"/>
            </w:tcBorders>
          </w:tcPr>
          <w:p w:rsidR="00B05EBA" w:rsidRDefault="00B05EBA" w:rsidP="00310BA4">
            <w:pPr>
              <w:spacing w:before="120" w:after="120"/>
              <w:jc w:val="left"/>
              <w:rPr>
                <w:u w:val="single"/>
              </w:rPr>
            </w:pPr>
            <w:r w:rsidRPr="00737D76">
              <w:rPr>
                <w:u w:val="single"/>
              </w:rPr>
              <w:t>Aus</w:t>
            </w:r>
            <w:r>
              <w:rPr>
                <w:u w:val="single"/>
              </w:rPr>
              <w:t>s</w:t>
            </w:r>
            <w:r w:rsidRPr="00737D76">
              <w:rPr>
                <w:u w:val="single"/>
              </w:rPr>
              <w:t>prache und Intonation</w:t>
            </w:r>
          </w:p>
          <w:p w:rsidR="00B05EBA" w:rsidRPr="00552F05" w:rsidRDefault="00B05EBA" w:rsidP="00737D76">
            <w:pPr>
              <w:autoSpaceDE w:val="0"/>
              <w:autoSpaceDN w:val="0"/>
              <w:adjustRightInd w:val="0"/>
              <w:rPr>
                <w:rFonts w:cs="Arial"/>
                <w:szCs w:val="16"/>
              </w:rPr>
            </w:pPr>
            <w:r w:rsidRPr="00552F05">
              <w:rPr>
                <w:rFonts w:cs="Arial"/>
                <w:szCs w:val="16"/>
              </w:rPr>
              <w:t>Sie können</w:t>
            </w:r>
          </w:p>
          <w:p w:rsidR="00B05EBA" w:rsidRPr="00737D76" w:rsidRDefault="00B05EBA" w:rsidP="00737D76">
            <w:pPr>
              <w:numPr>
                <w:ilvl w:val="0"/>
                <w:numId w:val="8"/>
              </w:numPr>
              <w:spacing w:before="120" w:after="120"/>
              <w:jc w:val="left"/>
              <w:rPr>
                <w:u w:val="single"/>
              </w:rPr>
            </w:pPr>
            <w:r w:rsidRPr="00552F05">
              <w:rPr>
                <w:rFonts w:cs="Arial"/>
                <w:szCs w:val="16"/>
              </w:rPr>
              <w:t>in</w:t>
            </w:r>
            <w:r>
              <w:rPr>
                <w:rFonts w:cs="Arial"/>
                <w:szCs w:val="16"/>
              </w:rPr>
              <w:t xml:space="preserve"> authentischen</w:t>
            </w:r>
            <w:r w:rsidRPr="00552F05">
              <w:rPr>
                <w:rFonts w:cs="Arial"/>
                <w:szCs w:val="16"/>
              </w:rPr>
              <w:t xml:space="preserve"> Gesprächssituationen und einfach strukturierter freier Rede Aussprache und Intonation  we</w:t>
            </w:r>
            <w:r>
              <w:rPr>
                <w:rFonts w:cs="Arial"/>
                <w:szCs w:val="16"/>
              </w:rPr>
              <w:t>itgehend angemessen realisieren.</w:t>
            </w:r>
          </w:p>
        </w:tc>
      </w:tr>
      <w:tr w:rsidR="00B05EBA" w:rsidRPr="00400449" w:rsidTr="00B05EBA">
        <w:trPr>
          <w:trHeight w:val="255"/>
        </w:trPr>
        <w:tc>
          <w:tcPr>
            <w:tcW w:w="2444" w:type="dxa"/>
            <w:vMerge/>
            <w:tcBorders>
              <w:right w:val="single" w:sz="12" w:space="0" w:color="auto"/>
            </w:tcBorders>
            <w:shd w:val="clear" w:color="auto" w:fill="C0C0C0"/>
          </w:tcPr>
          <w:p w:rsidR="00B05EBA" w:rsidRPr="00737D76" w:rsidRDefault="00B05EBA" w:rsidP="00310BA4">
            <w:pPr>
              <w:spacing w:before="120" w:after="120"/>
              <w:jc w:val="left"/>
              <w:rPr>
                <w:b/>
              </w:rPr>
            </w:pPr>
          </w:p>
        </w:tc>
        <w:tc>
          <w:tcPr>
            <w:tcW w:w="6844" w:type="dxa"/>
            <w:tcBorders>
              <w:left w:val="single" w:sz="12" w:space="0" w:color="auto"/>
            </w:tcBorders>
            <w:shd w:val="clear" w:color="auto" w:fill="C0C0C0"/>
          </w:tcPr>
          <w:p w:rsidR="00B05EBA" w:rsidRPr="00400449" w:rsidRDefault="00B05EBA" w:rsidP="00310BA4">
            <w:pPr>
              <w:spacing w:before="120" w:after="120"/>
              <w:jc w:val="left"/>
              <w:rPr>
                <w:b/>
              </w:rPr>
            </w:pPr>
            <w:r w:rsidRPr="00400449">
              <w:rPr>
                <w:b/>
              </w:rPr>
              <w:t>Methodische Kompetenzen</w:t>
            </w:r>
          </w:p>
        </w:tc>
      </w:tr>
      <w:tr w:rsidR="00B05EBA" w:rsidRPr="00400449" w:rsidTr="00B05EBA">
        <w:trPr>
          <w:trHeight w:val="255"/>
        </w:trPr>
        <w:tc>
          <w:tcPr>
            <w:tcW w:w="2444" w:type="dxa"/>
            <w:vMerge/>
            <w:tcBorders>
              <w:bottom w:val="single" w:sz="4" w:space="0" w:color="auto"/>
              <w:right w:val="single" w:sz="12" w:space="0" w:color="auto"/>
            </w:tcBorders>
            <w:shd w:val="clear" w:color="auto" w:fill="C0C0C0"/>
          </w:tcPr>
          <w:p w:rsidR="00B05EBA" w:rsidRDefault="00B05EBA" w:rsidP="00310BA4">
            <w:pPr>
              <w:spacing w:before="120" w:after="120"/>
              <w:jc w:val="left"/>
              <w:rPr>
                <w:b/>
                <w:lang w:val="en-GB"/>
              </w:rPr>
            </w:pPr>
          </w:p>
        </w:tc>
        <w:tc>
          <w:tcPr>
            <w:tcW w:w="6844" w:type="dxa"/>
            <w:tcBorders>
              <w:left w:val="single" w:sz="12" w:space="0" w:color="auto"/>
            </w:tcBorders>
          </w:tcPr>
          <w:p w:rsidR="00B05EBA" w:rsidRDefault="00B05EBA" w:rsidP="00310BA4">
            <w:pPr>
              <w:spacing w:before="120" w:after="120"/>
              <w:jc w:val="left"/>
              <w:rPr>
                <w:u w:val="single"/>
              </w:rPr>
            </w:pPr>
            <w:r>
              <w:rPr>
                <w:u w:val="single"/>
              </w:rPr>
              <w:t>Umgang mit Texten und Medien</w:t>
            </w:r>
          </w:p>
          <w:p w:rsidR="00B05EBA" w:rsidRPr="00C924B9" w:rsidRDefault="00B05EBA" w:rsidP="00737D76">
            <w:pPr>
              <w:autoSpaceDE w:val="0"/>
              <w:autoSpaceDN w:val="0"/>
              <w:adjustRightInd w:val="0"/>
              <w:rPr>
                <w:rFonts w:cs="Arial"/>
                <w:szCs w:val="24"/>
              </w:rPr>
            </w:pPr>
            <w:r w:rsidRPr="00C924B9">
              <w:rPr>
                <w:rFonts w:cs="Arial"/>
                <w:szCs w:val="24"/>
              </w:rPr>
              <w:t>Sie können</w:t>
            </w:r>
          </w:p>
          <w:p w:rsidR="00B05EBA" w:rsidRDefault="00B05EBA" w:rsidP="00737D76">
            <w:pPr>
              <w:numPr>
                <w:ilvl w:val="0"/>
                <w:numId w:val="10"/>
              </w:numPr>
              <w:autoSpaceDE w:val="0"/>
              <w:autoSpaceDN w:val="0"/>
              <w:adjustRightInd w:val="0"/>
              <w:rPr>
                <w:rFonts w:cs="Arial"/>
                <w:szCs w:val="24"/>
              </w:rPr>
            </w:pPr>
            <w:r w:rsidRPr="00EB474E">
              <w:rPr>
                <w:rFonts w:cs="Arial"/>
                <w:szCs w:val="24"/>
              </w:rPr>
              <w:t>unterschiedliche Hör- und Lesest</w:t>
            </w:r>
            <w:r>
              <w:rPr>
                <w:rFonts w:cs="Arial"/>
                <w:szCs w:val="24"/>
              </w:rPr>
              <w:t>rategien</w:t>
            </w:r>
            <w:r w:rsidRPr="00EB474E">
              <w:rPr>
                <w:rFonts w:cs="Arial"/>
                <w:szCs w:val="24"/>
              </w:rPr>
              <w:t xml:space="preserve">  </w:t>
            </w:r>
            <w:r>
              <w:rPr>
                <w:rFonts w:cs="Arial"/>
                <w:szCs w:val="24"/>
              </w:rPr>
              <w:t xml:space="preserve">zielführend </w:t>
            </w:r>
            <w:r w:rsidRPr="00EB474E">
              <w:rPr>
                <w:rFonts w:cs="Arial"/>
                <w:szCs w:val="24"/>
              </w:rPr>
              <w:t>einsetzen</w:t>
            </w:r>
            <w:r>
              <w:rPr>
                <w:rFonts w:cs="Arial"/>
                <w:szCs w:val="24"/>
              </w:rPr>
              <w:t xml:space="preserve"> </w:t>
            </w:r>
            <w:r w:rsidRPr="00EB474E">
              <w:rPr>
                <w:rFonts w:cs="Arial"/>
                <w:szCs w:val="24"/>
              </w:rPr>
              <w:t>(detailliertes, suchendes bzw. s</w:t>
            </w:r>
            <w:r w:rsidRPr="00EB474E">
              <w:rPr>
                <w:rFonts w:cs="Arial"/>
                <w:szCs w:val="24"/>
              </w:rPr>
              <w:t>e</w:t>
            </w:r>
            <w:r w:rsidRPr="00EB474E">
              <w:rPr>
                <w:rFonts w:cs="Arial"/>
                <w:szCs w:val="24"/>
              </w:rPr>
              <w:t>lektives, globales</w:t>
            </w:r>
            <w:r>
              <w:rPr>
                <w:rFonts w:cs="Arial"/>
                <w:szCs w:val="24"/>
              </w:rPr>
              <w:t xml:space="preserve"> </w:t>
            </w:r>
            <w:r w:rsidRPr="00EB474E">
              <w:rPr>
                <w:rFonts w:cs="Arial"/>
                <w:szCs w:val="24"/>
              </w:rPr>
              <w:t>Hören und Lesen)</w:t>
            </w:r>
            <w:r>
              <w:rPr>
                <w:rFonts w:cs="Arial"/>
                <w:szCs w:val="24"/>
              </w:rPr>
              <w:t>,</w:t>
            </w:r>
          </w:p>
          <w:p w:rsidR="00B05EBA" w:rsidRDefault="00B05EBA" w:rsidP="009115C4">
            <w:pPr>
              <w:numPr>
                <w:ilvl w:val="0"/>
                <w:numId w:val="10"/>
              </w:numPr>
              <w:autoSpaceDE w:val="0"/>
              <w:autoSpaceDN w:val="0"/>
              <w:adjustRightInd w:val="0"/>
              <w:rPr>
                <w:rFonts w:cs="Arial"/>
                <w:szCs w:val="24"/>
              </w:rPr>
            </w:pPr>
            <w:r w:rsidRPr="00EB474E">
              <w:rPr>
                <w:rFonts w:cs="Arial"/>
                <w:szCs w:val="24"/>
              </w:rPr>
              <w:t>Techniken zum Markieren und Notieren eigenständig einsetzen (u. a. N</w:t>
            </w:r>
            <w:r w:rsidRPr="00EB474E">
              <w:rPr>
                <w:rFonts w:cs="Arial"/>
                <w:szCs w:val="24"/>
              </w:rPr>
              <w:t>o</w:t>
            </w:r>
            <w:r w:rsidRPr="00EB474E">
              <w:rPr>
                <w:rFonts w:cs="Arial"/>
                <w:szCs w:val="24"/>
              </w:rPr>
              <w:t>tizen machen,</w:t>
            </w:r>
            <w:r>
              <w:rPr>
                <w:rFonts w:cs="Arial"/>
                <w:szCs w:val="24"/>
              </w:rPr>
              <w:t xml:space="preserve"> </w:t>
            </w:r>
            <w:r w:rsidRPr="00EB474E">
              <w:rPr>
                <w:rFonts w:cs="Arial"/>
                <w:i/>
                <w:iCs/>
                <w:szCs w:val="24"/>
              </w:rPr>
              <w:t>Mind Maps</w:t>
            </w:r>
            <w:r>
              <w:rPr>
                <w:rFonts w:cs="Arial"/>
                <w:szCs w:val="24"/>
              </w:rPr>
              <w:t>).</w:t>
            </w:r>
          </w:p>
          <w:p w:rsidR="00B05EBA" w:rsidRDefault="00B05EBA" w:rsidP="009115C4">
            <w:pPr>
              <w:autoSpaceDE w:val="0"/>
              <w:autoSpaceDN w:val="0"/>
              <w:adjustRightInd w:val="0"/>
              <w:rPr>
                <w:rFonts w:cs="Arial"/>
                <w:szCs w:val="24"/>
              </w:rPr>
            </w:pPr>
          </w:p>
          <w:p w:rsidR="00B05EBA" w:rsidRDefault="00B05EBA" w:rsidP="009115C4">
            <w:pPr>
              <w:autoSpaceDE w:val="0"/>
              <w:autoSpaceDN w:val="0"/>
              <w:adjustRightInd w:val="0"/>
              <w:rPr>
                <w:rFonts w:cs="Arial"/>
                <w:szCs w:val="24"/>
              </w:rPr>
            </w:pPr>
            <w:r>
              <w:rPr>
                <w:rFonts w:cs="Arial"/>
                <w:szCs w:val="24"/>
              </w:rPr>
              <w:t xml:space="preserve">Sie können im Rahmen der </w:t>
            </w:r>
            <w:r w:rsidRPr="009115C4">
              <w:rPr>
                <w:rFonts w:cs="Arial"/>
                <w:i/>
                <w:szCs w:val="24"/>
              </w:rPr>
              <w:t xml:space="preserve">media </w:t>
            </w:r>
            <w:r w:rsidRPr="00B05EBA">
              <w:rPr>
                <w:rFonts w:cs="Arial"/>
                <w:i/>
                <w:szCs w:val="24"/>
                <w:lang w:val="en-US"/>
              </w:rPr>
              <w:t>literacy</w:t>
            </w:r>
          </w:p>
          <w:p w:rsidR="00B05EBA" w:rsidRDefault="00B05EBA" w:rsidP="009115C4">
            <w:pPr>
              <w:numPr>
                <w:ilvl w:val="0"/>
                <w:numId w:val="10"/>
              </w:numPr>
              <w:autoSpaceDE w:val="0"/>
              <w:autoSpaceDN w:val="0"/>
              <w:adjustRightInd w:val="0"/>
              <w:rPr>
                <w:rFonts w:cs="Arial"/>
                <w:szCs w:val="24"/>
              </w:rPr>
            </w:pPr>
            <w:r>
              <w:rPr>
                <w:rFonts w:cs="Arial"/>
                <w:szCs w:val="24"/>
              </w:rPr>
              <w:t>selbstständig bzw. angeleitet das Internet für Recherche und Kommun</w:t>
            </w:r>
            <w:r>
              <w:rPr>
                <w:rFonts w:cs="Arial"/>
                <w:szCs w:val="24"/>
              </w:rPr>
              <w:t>i</w:t>
            </w:r>
            <w:r>
              <w:rPr>
                <w:rFonts w:cs="Arial"/>
                <w:szCs w:val="24"/>
              </w:rPr>
              <w:t>kation kritisch nutzen,</w:t>
            </w:r>
          </w:p>
          <w:p w:rsidR="00B05EBA" w:rsidRDefault="00B05EBA" w:rsidP="009115C4">
            <w:pPr>
              <w:pStyle w:val="aufzhlung-1"/>
              <w:numPr>
                <w:ilvl w:val="0"/>
                <w:numId w:val="10"/>
              </w:numPr>
              <w:spacing w:line="240" w:lineRule="auto"/>
            </w:pPr>
            <w:r w:rsidRPr="00477DAC">
              <w:t>weitgehend selbstständig mit englischsprachiger Lernsoftware arbeiten, elektronische Nac</w:t>
            </w:r>
            <w:r w:rsidRPr="00477DAC">
              <w:t>h</w:t>
            </w:r>
            <w:r w:rsidRPr="00477DAC">
              <w:t>schlagewerke nutzen</w:t>
            </w:r>
            <w:r>
              <w:t>.</w:t>
            </w:r>
          </w:p>
          <w:p w:rsidR="00B05EBA" w:rsidRPr="009115C4" w:rsidRDefault="00B05EBA" w:rsidP="009115C4">
            <w:pPr>
              <w:keepNext/>
              <w:spacing w:before="120" w:after="120"/>
              <w:rPr>
                <w:rFonts w:cs="Arial"/>
                <w:szCs w:val="24"/>
                <w:u w:val="single"/>
              </w:rPr>
            </w:pPr>
            <w:r w:rsidRPr="009115C4">
              <w:rPr>
                <w:rFonts w:cs="Arial"/>
                <w:szCs w:val="24"/>
                <w:u w:val="single"/>
              </w:rPr>
              <w:t>Selbstständiges und kooperatives Sprachenlernen</w:t>
            </w:r>
          </w:p>
          <w:p w:rsidR="00B05EBA" w:rsidRPr="00477DAC" w:rsidRDefault="00B05EBA" w:rsidP="009115C4">
            <w:pPr>
              <w:keepNext/>
              <w:spacing w:before="120" w:after="120"/>
              <w:rPr>
                <w:rFonts w:cs="Arial"/>
                <w:szCs w:val="24"/>
              </w:rPr>
            </w:pPr>
            <w:r w:rsidRPr="00477DAC">
              <w:rPr>
                <w:rFonts w:cs="Arial"/>
                <w:szCs w:val="24"/>
              </w:rPr>
              <w:t>Sie können</w:t>
            </w:r>
          </w:p>
          <w:p w:rsidR="00B05EBA" w:rsidRPr="00477DAC" w:rsidRDefault="00B05EBA" w:rsidP="009115C4">
            <w:pPr>
              <w:pStyle w:val="aufzhlung-1"/>
              <w:numPr>
                <w:ilvl w:val="0"/>
                <w:numId w:val="14"/>
              </w:numPr>
              <w:spacing w:line="240" w:lineRule="auto"/>
              <w:rPr>
                <w:rFonts w:cs="Arial"/>
                <w:szCs w:val="24"/>
              </w:rPr>
            </w:pPr>
            <w:r w:rsidRPr="00477DAC">
              <w:rPr>
                <w:rFonts w:cs="Arial"/>
                <w:szCs w:val="24"/>
              </w:rPr>
              <w:t>Lern- und Arbeitsprozesse selbstständig und kooperativ gestalten, u. a. Arbeitsziele setzen, Mat</w:t>
            </w:r>
            <w:r w:rsidRPr="00477DAC">
              <w:rPr>
                <w:rFonts w:cs="Arial"/>
                <w:szCs w:val="24"/>
              </w:rPr>
              <w:t>e</w:t>
            </w:r>
            <w:r w:rsidRPr="00477DAC">
              <w:rPr>
                <w:rFonts w:cs="Arial"/>
                <w:szCs w:val="24"/>
              </w:rPr>
              <w:t>rial beschaffen, Präsentationen gestalten,</w:t>
            </w:r>
          </w:p>
          <w:p w:rsidR="00B05EBA" w:rsidRDefault="00B05EBA" w:rsidP="009115C4">
            <w:pPr>
              <w:pStyle w:val="aufzhlung-1"/>
              <w:numPr>
                <w:ilvl w:val="0"/>
                <w:numId w:val="14"/>
              </w:numPr>
              <w:spacing w:line="240" w:lineRule="auto"/>
              <w:rPr>
                <w:rFonts w:cs="Arial"/>
                <w:szCs w:val="24"/>
              </w:rPr>
            </w:pPr>
            <w:r w:rsidRPr="00477DAC">
              <w:rPr>
                <w:rFonts w:cs="Arial"/>
                <w:spacing w:val="-3"/>
                <w:szCs w:val="24"/>
              </w:rPr>
              <w:lastRenderedPageBreak/>
              <w:t>Techniken der systematischen Wortschatzerweiterung und -sicherung a</w:t>
            </w:r>
            <w:r w:rsidRPr="00477DAC">
              <w:rPr>
                <w:rFonts w:cs="Arial"/>
                <w:spacing w:val="-3"/>
                <w:szCs w:val="24"/>
              </w:rPr>
              <w:t>n</w:t>
            </w:r>
            <w:r w:rsidRPr="00477DAC">
              <w:rPr>
                <w:rFonts w:cs="Arial"/>
                <w:spacing w:val="-3"/>
                <w:szCs w:val="24"/>
              </w:rPr>
              <w:t>wenden,</w:t>
            </w:r>
            <w:r w:rsidRPr="00477DAC">
              <w:rPr>
                <w:rFonts w:cs="Arial"/>
                <w:szCs w:val="24"/>
              </w:rPr>
              <w:t xml:space="preserve"> </w:t>
            </w:r>
          </w:p>
          <w:p w:rsidR="00B05EBA" w:rsidRPr="009115C4" w:rsidRDefault="00B05EBA" w:rsidP="009115C4">
            <w:pPr>
              <w:pStyle w:val="aufzhlung-1"/>
              <w:numPr>
                <w:ilvl w:val="0"/>
                <w:numId w:val="14"/>
              </w:numPr>
              <w:spacing w:line="240" w:lineRule="auto"/>
              <w:rPr>
                <w:rFonts w:cs="Arial"/>
                <w:szCs w:val="24"/>
              </w:rPr>
            </w:pPr>
            <w:r w:rsidRPr="00695E04">
              <w:t>Englisch in kooperativen Unterrichtsphasen gezie</w:t>
            </w:r>
            <w:r>
              <w:t>lt als Arbeitssprache einsetzen.</w:t>
            </w:r>
          </w:p>
          <w:p w:rsidR="00B05EBA" w:rsidRPr="009115C4" w:rsidRDefault="00B05EBA" w:rsidP="009115C4"/>
        </w:tc>
      </w:tr>
      <w:tr w:rsidR="00B05EBA" w:rsidRPr="00D346BC" w:rsidTr="00B05EBA">
        <w:tc>
          <w:tcPr>
            <w:tcW w:w="2444" w:type="dxa"/>
            <w:tcBorders>
              <w:top w:val="single" w:sz="4" w:space="0" w:color="auto"/>
              <w:bottom w:val="single" w:sz="4" w:space="0" w:color="auto"/>
              <w:right w:val="single" w:sz="12" w:space="0" w:color="auto"/>
            </w:tcBorders>
            <w:shd w:val="clear" w:color="auto" w:fill="C0C0C0"/>
          </w:tcPr>
          <w:p w:rsidR="00B05EBA" w:rsidRPr="00D346BC" w:rsidRDefault="00B05EBA" w:rsidP="00310BA4">
            <w:pPr>
              <w:spacing w:before="120" w:after="120"/>
              <w:jc w:val="left"/>
              <w:rPr>
                <w:b/>
                <w:lang w:val="en-GB"/>
              </w:rPr>
            </w:pPr>
            <w:r w:rsidRPr="00D346BC">
              <w:rPr>
                <w:b/>
                <w:lang w:val="en-GB"/>
              </w:rPr>
              <w:lastRenderedPageBreak/>
              <w:t>GeR:</w:t>
            </w:r>
          </w:p>
        </w:tc>
        <w:tc>
          <w:tcPr>
            <w:tcW w:w="6844" w:type="dxa"/>
            <w:tcBorders>
              <w:left w:val="single" w:sz="12" w:space="0" w:color="auto"/>
            </w:tcBorders>
          </w:tcPr>
          <w:p w:rsidR="00B05EBA" w:rsidRPr="00FF5F94" w:rsidRDefault="00B05EBA" w:rsidP="00310BA4">
            <w:pPr>
              <w:spacing w:before="120" w:after="120"/>
              <w:jc w:val="left"/>
            </w:pPr>
            <w:r>
              <w:t>A 2 +</w:t>
            </w:r>
          </w:p>
        </w:tc>
      </w:tr>
      <w:tr w:rsidR="00B05EBA" w:rsidRPr="00C353D0" w:rsidTr="00B05EBA">
        <w:tc>
          <w:tcPr>
            <w:tcW w:w="2444" w:type="dxa"/>
            <w:tcBorders>
              <w:top w:val="single" w:sz="4" w:space="0" w:color="auto"/>
              <w:bottom w:val="single" w:sz="4" w:space="0" w:color="auto"/>
              <w:right w:val="single" w:sz="12" w:space="0" w:color="auto"/>
            </w:tcBorders>
            <w:shd w:val="clear" w:color="auto" w:fill="C0C0C0"/>
          </w:tcPr>
          <w:p w:rsidR="00B05EBA" w:rsidRPr="00D346BC" w:rsidRDefault="00B05EBA" w:rsidP="00310BA4">
            <w:pPr>
              <w:spacing w:before="120" w:after="120"/>
              <w:jc w:val="left"/>
              <w:rPr>
                <w:b/>
                <w:lang w:val="en-GB"/>
              </w:rPr>
            </w:pPr>
            <w:r>
              <w:rPr>
                <w:b/>
                <w:lang w:val="en-GB"/>
              </w:rPr>
              <w:t>Bearbeitungszeit:</w:t>
            </w:r>
          </w:p>
        </w:tc>
        <w:tc>
          <w:tcPr>
            <w:tcW w:w="6844" w:type="dxa"/>
            <w:tcBorders>
              <w:left w:val="single" w:sz="12" w:space="0" w:color="auto"/>
            </w:tcBorders>
          </w:tcPr>
          <w:p w:rsidR="00B05EBA" w:rsidRDefault="00B05EBA" w:rsidP="00310BA4">
            <w:pPr>
              <w:spacing w:before="120" w:after="120"/>
              <w:jc w:val="left"/>
            </w:pPr>
            <w:r>
              <w:t>ca. 3-4 Unterrichtsstunden</w:t>
            </w:r>
          </w:p>
        </w:tc>
      </w:tr>
      <w:tr w:rsidR="00B05EBA" w:rsidRPr="00C353D0" w:rsidTr="00B05EBA">
        <w:tc>
          <w:tcPr>
            <w:tcW w:w="2444" w:type="dxa"/>
            <w:tcBorders>
              <w:top w:val="single" w:sz="4" w:space="0" w:color="auto"/>
              <w:bottom w:val="single" w:sz="4" w:space="0" w:color="auto"/>
              <w:right w:val="single" w:sz="12" w:space="0" w:color="auto"/>
            </w:tcBorders>
            <w:shd w:val="clear" w:color="auto" w:fill="C0C0C0"/>
          </w:tcPr>
          <w:p w:rsidR="00B05EBA" w:rsidRPr="00C353D0" w:rsidRDefault="00B05EBA" w:rsidP="00310BA4">
            <w:pPr>
              <w:spacing w:before="120" w:after="120"/>
              <w:jc w:val="left"/>
              <w:rPr>
                <w:b/>
              </w:rPr>
            </w:pPr>
            <w:r w:rsidRPr="00C353D0">
              <w:rPr>
                <w:b/>
              </w:rPr>
              <w:t>Materialien / Quellen:</w:t>
            </w:r>
          </w:p>
        </w:tc>
        <w:tc>
          <w:tcPr>
            <w:tcW w:w="6844" w:type="dxa"/>
            <w:tcBorders>
              <w:left w:val="single" w:sz="12" w:space="0" w:color="auto"/>
            </w:tcBorders>
          </w:tcPr>
          <w:p w:rsidR="00B05EBA" w:rsidRDefault="00B05EBA" w:rsidP="00C353D0">
            <w:pPr>
              <w:numPr>
                <w:ilvl w:val="0"/>
                <w:numId w:val="10"/>
              </w:numPr>
              <w:spacing w:before="120" w:after="120"/>
              <w:jc w:val="left"/>
            </w:pPr>
            <w:r>
              <w:t xml:space="preserve">Aufgabenbeispiel </w:t>
            </w:r>
            <w:r w:rsidRPr="009115C4">
              <w:rPr>
                <w:i/>
              </w:rPr>
              <w:t>Work placement</w:t>
            </w:r>
          </w:p>
        </w:tc>
      </w:tr>
      <w:tr w:rsidR="00B05EBA" w:rsidRPr="00013D44" w:rsidTr="00B05EBA">
        <w:tc>
          <w:tcPr>
            <w:tcW w:w="2444" w:type="dxa"/>
            <w:tcBorders>
              <w:top w:val="single" w:sz="4" w:space="0" w:color="auto"/>
              <w:bottom w:val="single" w:sz="12" w:space="0" w:color="auto"/>
              <w:right w:val="single" w:sz="12" w:space="0" w:color="auto"/>
            </w:tcBorders>
            <w:shd w:val="clear" w:color="auto" w:fill="C0C0C0"/>
          </w:tcPr>
          <w:p w:rsidR="00B05EBA" w:rsidRPr="00C353D0" w:rsidRDefault="00B05EBA" w:rsidP="00310BA4">
            <w:pPr>
              <w:spacing w:before="120" w:after="120"/>
              <w:jc w:val="left"/>
              <w:rPr>
                <w:b/>
              </w:rPr>
            </w:pPr>
            <w:r w:rsidRPr="00C353D0">
              <w:rPr>
                <w:b/>
              </w:rPr>
              <w:t>Benötigte Materialien</w:t>
            </w:r>
            <w:r>
              <w:rPr>
                <w:b/>
              </w:rPr>
              <w:t>/Medien</w:t>
            </w:r>
            <w:r w:rsidRPr="00C353D0">
              <w:rPr>
                <w:b/>
              </w:rPr>
              <w:t>:</w:t>
            </w:r>
          </w:p>
        </w:tc>
        <w:tc>
          <w:tcPr>
            <w:tcW w:w="6844" w:type="dxa"/>
            <w:tcBorders>
              <w:left w:val="single" w:sz="12" w:space="0" w:color="auto"/>
            </w:tcBorders>
          </w:tcPr>
          <w:p w:rsidR="00B05EBA" w:rsidRPr="00013D44" w:rsidRDefault="00B05EBA" w:rsidP="00C353D0">
            <w:pPr>
              <w:numPr>
                <w:ilvl w:val="0"/>
                <w:numId w:val="10"/>
              </w:numPr>
              <w:spacing w:before="120" w:after="120"/>
              <w:jc w:val="left"/>
            </w:pPr>
            <w:r>
              <w:t xml:space="preserve">Aufgabenbeispiel </w:t>
            </w:r>
            <w:r w:rsidRPr="009115C4">
              <w:rPr>
                <w:i/>
              </w:rPr>
              <w:t>Work placement</w:t>
            </w:r>
          </w:p>
          <w:p w:rsidR="00B05EBA" w:rsidRPr="00013D44" w:rsidRDefault="00B05EBA" w:rsidP="00C353D0">
            <w:pPr>
              <w:numPr>
                <w:ilvl w:val="0"/>
                <w:numId w:val="10"/>
              </w:numPr>
              <w:spacing w:before="120" w:after="120"/>
              <w:jc w:val="left"/>
              <w:rPr>
                <w:lang w:val="fr-FR"/>
              </w:rPr>
            </w:pPr>
            <w:r>
              <w:rPr>
                <w:lang w:val="fr-FR"/>
              </w:rPr>
              <w:t>Internetzugang</w:t>
            </w:r>
          </w:p>
        </w:tc>
      </w:tr>
    </w:tbl>
    <w:p w:rsidR="00400449" w:rsidRPr="00013D44" w:rsidRDefault="00400449" w:rsidP="00400449">
      <w:pPr>
        <w:jc w:val="left"/>
        <w:rPr>
          <w:b/>
          <w:lang w:val="fr-FR"/>
        </w:rPr>
      </w:pPr>
    </w:p>
    <w:p w:rsidR="00FD6F29" w:rsidRDefault="00400449">
      <w:pPr>
        <w:rPr>
          <w:b/>
        </w:rPr>
      </w:pPr>
      <w:r w:rsidRPr="00013D44">
        <w:rPr>
          <w:lang w:val="fr-FR"/>
        </w:rPr>
        <w:br w:type="page"/>
      </w:r>
      <w:r w:rsidRPr="00400449">
        <w:rPr>
          <w:b/>
        </w:rPr>
        <w:lastRenderedPageBreak/>
        <w:t>Hinweise zur Aufgabe</w:t>
      </w:r>
    </w:p>
    <w:p w:rsidR="00400449" w:rsidRDefault="0040044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7"/>
        <w:gridCol w:w="7071"/>
      </w:tblGrid>
      <w:tr w:rsidR="00400449">
        <w:tc>
          <w:tcPr>
            <w:tcW w:w="2217" w:type="dxa"/>
            <w:shd w:val="clear" w:color="auto" w:fill="C0C0C0"/>
          </w:tcPr>
          <w:p w:rsidR="00400449" w:rsidRPr="00F11F16" w:rsidRDefault="00400449">
            <w:pPr>
              <w:rPr>
                <w:b/>
              </w:rPr>
            </w:pPr>
            <w:r w:rsidRPr="00F11F16">
              <w:rPr>
                <w:b/>
              </w:rPr>
              <w:t>Thema</w:t>
            </w:r>
          </w:p>
        </w:tc>
        <w:tc>
          <w:tcPr>
            <w:tcW w:w="7071" w:type="dxa"/>
          </w:tcPr>
          <w:p w:rsidR="00595617" w:rsidRDefault="00595617" w:rsidP="007C4FA9"/>
          <w:p w:rsidR="00022590" w:rsidRDefault="00595617" w:rsidP="007C4FA9">
            <w:r>
              <w:t>Die Berufsorientierung nimmt im Kernlehrplan der Abendrealschule eine wichtige Rolle ein. Die Studierenden solle</w:t>
            </w:r>
            <w:r w:rsidR="003E3625">
              <w:t>n</w:t>
            </w:r>
            <w:r>
              <w:t xml:space="preserve"> im Unterricht einerseits das Englische als lingua franca in beruflichen Kontexten erfahren und andererseits auf berufliche Anwendungssituationen nach der Schule vorbereitet werden.</w:t>
            </w:r>
          </w:p>
          <w:p w:rsidR="00595617" w:rsidRPr="00022590" w:rsidRDefault="00595617" w:rsidP="007C4FA9">
            <w:r>
              <w:t>Das Grundtvig</w:t>
            </w:r>
            <w:r w:rsidR="005C2850">
              <w:t>-</w:t>
            </w:r>
            <w:r>
              <w:t xml:space="preserve">Kolleg trägt </w:t>
            </w:r>
            <w:proofErr w:type="gramStart"/>
            <w:r>
              <w:t>dem</w:t>
            </w:r>
            <w:proofErr w:type="gramEnd"/>
            <w:r>
              <w:t xml:space="preserve"> Rechnung, indem es im zweiten Semester die inhaltliche Schwerpunktreihe </w:t>
            </w:r>
            <w:r w:rsidRPr="00595617">
              <w:rPr>
                <w:i/>
              </w:rPr>
              <w:t>Job till you drop</w:t>
            </w:r>
            <w:r>
              <w:t xml:space="preserve"> verankert (HIC, S. 11). Das Aufgabenbeispiel illustriert, wie der Kompetenzbereich der Sprachmittlung in einer Unterrichtsreihe mit beruflichem Bezug umgesetzt werden kann.</w:t>
            </w:r>
          </w:p>
          <w:p w:rsidR="00F11F16" w:rsidRPr="00F11F16" w:rsidRDefault="00F11F16" w:rsidP="00F11F16">
            <w:pPr>
              <w:rPr>
                <w:i/>
              </w:rPr>
            </w:pPr>
          </w:p>
        </w:tc>
      </w:tr>
      <w:tr w:rsidR="00F11F16">
        <w:tc>
          <w:tcPr>
            <w:tcW w:w="2217" w:type="dxa"/>
            <w:shd w:val="clear" w:color="auto" w:fill="C0C0C0"/>
          </w:tcPr>
          <w:p w:rsidR="00F11F16" w:rsidRPr="00F11F16" w:rsidRDefault="00F11F16" w:rsidP="00310BA4">
            <w:pPr>
              <w:rPr>
                <w:b/>
              </w:rPr>
            </w:pPr>
            <w:r w:rsidRPr="00F11F16">
              <w:rPr>
                <w:b/>
              </w:rPr>
              <w:t>Voraussetzungen</w:t>
            </w:r>
          </w:p>
        </w:tc>
        <w:tc>
          <w:tcPr>
            <w:tcW w:w="7071" w:type="dxa"/>
          </w:tcPr>
          <w:p w:rsidR="00013D44" w:rsidRDefault="00595617" w:rsidP="00022590">
            <w:r>
              <w:t xml:space="preserve">Die Studierenden sollten über grundlegende Lesestrategien verfügen, die sie im Rahmen der Sprachmittlungsaufgabe anwenden können. Zudem sollten sie mit der methodischen Vorgehensweise des Gruppenpuzzles vertraut sein.  Der Umgang mit dem zweisprachigen Wörterbuch bzw. eines </w:t>
            </w:r>
            <w:r w:rsidR="005C2850">
              <w:t>Online-Wörterbuchs</w:t>
            </w:r>
            <w:r>
              <w:t xml:space="preserve"> </w:t>
            </w:r>
            <w:r w:rsidR="003E3625">
              <w:t>sollte</w:t>
            </w:r>
            <w:r>
              <w:t xml:space="preserve"> ihnen aus Phasen des selbstständigen Sprachenlernens bekannt</w:t>
            </w:r>
            <w:r w:rsidR="003E3625">
              <w:t xml:space="preserve"> sein</w:t>
            </w:r>
            <w:r>
              <w:t>.</w:t>
            </w:r>
          </w:p>
          <w:p w:rsidR="00F11F16" w:rsidRPr="00F11F16" w:rsidRDefault="00F11F16" w:rsidP="009115C4">
            <w:pPr>
              <w:rPr>
                <w:i/>
              </w:rPr>
            </w:pPr>
          </w:p>
        </w:tc>
      </w:tr>
      <w:tr w:rsidR="00F11F16">
        <w:tc>
          <w:tcPr>
            <w:tcW w:w="2217" w:type="dxa"/>
            <w:shd w:val="clear" w:color="auto" w:fill="C0C0C0"/>
          </w:tcPr>
          <w:p w:rsidR="00F11F16" w:rsidRPr="00F11F16" w:rsidRDefault="00F11F16" w:rsidP="00310BA4">
            <w:pPr>
              <w:rPr>
                <w:b/>
              </w:rPr>
            </w:pPr>
            <w:r>
              <w:rPr>
                <w:b/>
              </w:rPr>
              <w:t>Fachdidaktische Hinweise:</w:t>
            </w:r>
          </w:p>
        </w:tc>
        <w:tc>
          <w:tcPr>
            <w:tcW w:w="7071" w:type="dxa"/>
          </w:tcPr>
          <w:p w:rsidR="00013D44" w:rsidRDefault="00595617" w:rsidP="00013D44">
            <w:r>
              <w:t xml:space="preserve">In der ersten Teilaufgabe müssen die Studierenden nachweisen, dass sie </w:t>
            </w:r>
            <w:r w:rsidR="000F3149">
              <w:t xml:space="preserve">im Rahmen einer Sprachmittlungsaufgabe aus </w:t>
            </w:r>
            <w:r>
              <w:t>eine</w:t>
            </w:r>
            <w:r w:rsidR="000F3149">
              <w:t>m</w:t>
            </w:r>
            <w:r>
              <w:t xml:space="preserve"> authentischen englischsprachigen Text relevante Informationen </w:t>
            </w:r>
            <w:r w:rsidR="003E3625">
              <w:t xml:space="preserve">für einen </w:t>
            </w:r>
            <w:r w:rsidR="000F3149">
              <w:t xml:space="preserve">englischen </w:t>
            </w:r>
            <w:r w:rsidR="003E3625">
              <w:t>Adressaten übertragen</w:t>
            </w:r>
            <w:r w:rsidR="000F3149">
              <w:t xml:space="preserve"> können</w:t>
            </w:r>
            <w:r w:rsidR="003E3625">
              <w:t xml:space="preserve">. Da die Übermittlungsform eine </w:t>
            </w:r>
            <w:r w:rsidR="005C2850">
              <w:t>E-Mail</w:t>
            </w:r>
            <w:r w:rsidR="003E3625">
              <w:t xml:space="preserve"> ist, müssen sie zudem die entsprechenden formalen und inhaltlichen</w:t>
            </w:r>
            <w:r w:rsidR="005C2850">
              <w:t xml:space="preserve"> </w:t>
            </w:r>
            <w:r w:rsidR="003E3625">
              <w:t>Textkonventionen umsetzen (Anrede, Briefabschluss, Frage und Auskunft nach dem Befinden, Eingehen auf das Anliegen des Adressaten).</w:t>
            </w:r>
          </w:p>
          <w:p w:rsidR="000F3149" w:rsidRDefault="003E3625" w:rsidP="00013D44">
            <w:r>
              <w:t>Die zweite Teilaufgabe zeigt beispielhaft auf, wie eine Übung zur mündlichen Sprachmittlung im Kontext der Berufsorientierung initiiert werden kann. Den methodischen Rahmen bildet ein Gruppenpuzzle, welches ermöglicht, dass sich Phasen des selbstständigen Arbeitens mit Phasen des kooperativen Arbeitens abwechseln</w:t>
            </w:r>
            <w:r w:rsidR="00750B87">
              <w:t xml:space="preserve"> und</w:t>
            </w:r>
            <w:r w:rsidR="000F3149">
              <w:t xml:space="preserve"> unterschiedliche Expertengruppen gebildet werden können</w:t>
            </w:r>
            <w:r w:rsidR="00750B87">
              <w:t xml:space="preserve">. Durch die Rückkopplung und den Austausch innerhalb der Expertengruppen erlangen die Studierenden mehr Sicherheit bezüglich ihres Textverständnisses sowie bezüglich der Relevanz der Informationen für den Adressaten. </w:t>
            </w:r>
          </w:p>
          <w:p w:rsidR="00F11F16" w:rsidRPr="00F11F16" w:rsidRDefault="00F11F16" w:rsidP="009115C4">
            <w:pPr>
              <w:rPr>
                <w:i/>
              </w:rPr>
            </w:pPr>
          </w:p>
        </w:tc>
      </w:tr>
    </w:tbl>
    <w:p w:rsidR="00400449" w:rsidRPr="00400449" w:rsidRDefault="00400449"/>
    <w:sectPr w:rsidR="00400449" w:rsidRPr="004004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41" w:rsidRDefault="00594941">
      <w:r>
        <w:separator/>
      </w:r>
    </w:p>
  </w:endnote>
  <w:endnote w:type="continuationSeparator" w:id="0">
    <w:p w:rsidR="00594941" w:rsidRDefault="0059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41" w:rsidRDefault="00594941">
      <w:r>
        <w:separator/>
      </w:r>
    </w:p>
  </w:footnote>
  <w:footnote w:type="continuationSeparator" w:id="0">
    <w:p w:rsidR="00594941" w:rsidRDefault="00594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D38"/>
    <w:multiLevelType w:val="hybridMultilevel"/>
    <w:tmpl w:val="E66200A8"/>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6D24571"/>
    <w:multiLevelType w:val="hybridMultilevel"/>
    <w:tmpl w:val="661A941A"/>
    <w:lvl w:ilvl="0" w:tplc="5C522F9A">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23D616F"/>
    <w:multiLevelType w:val="hybridMultilevel"/>
    <w:tmpl w:val="5D307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91873DD"/>
    <w:multiLevelType w:val="hybridMultilevel"/>
    <w:tmpl w:val="5B846072"/>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A78114B"/>
    <w:multiLevelType w:val="hybridMultilevel"/>
    <w:tmpl w:val="ECD4498A"/>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38C4628"/>
    <w:multiLevelType w:val="hybridMultilevel"/>
    <w:tmpl w:val="DFA8E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B683231"/>
    <w:multiLevelType w:val="hybridMultilevel"/>
    <w:tmpl w:val="4DFAF6B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1CB43C4"/>
    <w:multiLevelType w:val="hybridMultilevel"/>
    <w:tmpl w:val="7954096C"/>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77F01100"/>
    <w:multiLevelType w:val="hybridMultilevel"/>
    <w:tmpl w:val="AF42E1AA"/>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0"/>
  </w:num>
  <w:num w:numId="6">
    <w:abstractNumId w:val="12"/>
  </w:num>
  <w:num w:numId="7">
    <w:abstractNumId w:val="6"/>
  </w:num>
  <w:num w:numId="8">
    <w:abstractNumId w:val="10"/>
  </w:num>
  <w:num w:numId="9">
    <w:abstractNumId w:val="5"/>
  </w:num>
  <w:num w:numId="10">
    <w:abstractNumId w:val="13"/>
  </w:num>
  <w:num w:numId="11">
    <w:abstractNumId w:val="2"/>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02AD1"/>
    <w:rsid w:val="00013D44"/>
    <w:rsid w:val="00022590"/>
    <w:rsid w:val="000F3149"/>
    <w:rsid w:val="00112BDB"/>
    <w:rsid w:val="00166F75"/>
    <w:rsid w:val="001F72BF"/>
    <w:rsid w:val="00310BA4"/>
    <w:rsid w:val="00392EF6"/>
    <w:rsid w:val="003D2AE0"/>
    <w:rsid w:val="003E3625"/>
    <w:rsid w:val="00400449"/>
    <w:rsid w:val="004203F4"/>
    <w:rsid w:val="0046570C"/>
    <w:rsid w:val="00495027"/>
    <w:rsid w:val="0055735B"/>
    <w:rsid w:val="00594941"/>
    <w:rsid w:val="00595617"/>
    <w:rsid w:val="005C0C4B"/>
    <w:rsid w:val="005C2850"/>
    <w:rsid w:val="00632AB7"/>
    <w:rsid w:val="00737D76"/>
    <w:rsid w:val="00750B87"/>
    <w:rsid w:val="007662D4"/>
    <w:rsid w:val="007C4FA9"/>
    <w:rsid w:val="008115C2"/>
    <w:rsid w:val="009115C4"/>
    <w:rsid w:val="00A841C6"/>
    <w:rsid w:val="00AA1BB7"/>
    <w:rsid w:val="00AF4122"/>
    <w:rsid w:val="00B05EBA"/>
    <w:rsid w:val="00B3696E"/>
    <w:rsid w:val="00B40300"/>
    <w:rsid w:val="00BE474E"/>
    <w:rsid w:val="00C2635C"/>
    <w:rsid w:val="00C353D0"/>
    <w:rsid w:val="00CD52B0"/>
    <w:rsid w:val="00DC3F8F"/>
    <w:rsid w:val="00F11F16"/>
    <w:rsid w:val="00FD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basedOn w:val="Absatz-Standardschriftart"/>
    <w:semiHidden/>
    <w:rsid w:val="00400449"/>
    <w:rPr>
      <w:vertAlign w:val="superscript"/>
    </w:rPr>
  </w:style>
  <w:style w:type="table" w:styleId="Tabellenraster">
    <w:name w:val="Table Grid"/>
    <w:basedOn w:val="NormaleTabelle"/>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A841C6"/>
    <w:rPr>
      <w:rFonts w:ascii="Tahoma" w:hAnsi="Tahoma" w:cs="Tahoma"/>
      <w:sz w:val="16"/>
      <w:szCs w:val="16"/>
    </w:rPr>
  </w:style>
  <w:style w:type="character" w:styleId="Kommentarzeichen">
    <w:name w:val="annotation reference"/>
    <w:basedOn w:val="Absatz-Standardschriftart"/>
    <w:semiHidden/>
    <w:rsid w:val="00022590"/>
    <w:rPr>
      <w:sz w:val="16"/>
      <w:szCs w:val="16"/>
    </w:rPr>
  </w:style>
  <w:style w:type="paragraph" w:styleId="Kommentartext">
    <w:name w:val="annotation text"/>
    <w:basedOn w:val="Standard"/>
    <w:semiHidden/>
    <w:rsid w:val="00022590"/>
    <w:rPr>
      <w:sz w:val="20"/>
    </w:rPr>
  </w:style>
  <w:style w:type="paragraph" w:styleId="Kommentarthema">
    <w:name w:val="annotation subject"/>
    <w:basedOn w:val="Kommentartext"/>
    <w:next w:val="Kommentartext"/>
    <w:semiHidden/>
    <w:rsid w:val="00022590"/>
    <w:rPr>
      <w:b/>
      <w:bCs/>
    </w:rPr>
  </w:style>
  <w:style w:type="paragraph" w:customStyle="1" w:styleId="aufzhlung-1">
    <w:name w:val="aufzählung-1"/>
    <w:basedOn w:val="Standard"/>
    <w:next w:val="Standard"/>
    <w:rsid w:val="009115C4"/>
    <w:pPr>
      <w:tabs>
        <w:tab w:val="num" w:pos="284"/>
      </w:tabs>
      <w:spacing w:line="288" w:lineRule="exact"/>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E248E2C0.dotm</Template>
  <TotalTime>0</TotalTime>
  <Pages>4</Pages>
  <Words>642</Words>
  <Characters>4925</Characters>
  <Application>Microsoft Office Word</Application>
  <DocSecurity>0</DocSecurity>
  <Lines>169</Lines>
  <Paragraphs>74</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dc:description/>
  <cp:lastModifiedBy>Bial, Jessica</cp:lastModifiedBy>
  <cp:revision>2</cp:revision>
  <cp:lastPrinted>2012-08-24T06:26:00Z</cp:lastPrinted>
  <dcterms:created xsi:type="dcterms:W3CDTF">2013-09-23T09:56:00Z</dcterms:created>
  <dcterms:modified xsi:type="dcterms:W3CDTF">2013-09-23T09:56:00Z</dcterms:modified>
</cp:coreProperties>
</file>