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9474C4" w:rsidRDefault="009474C4" w:rsidP="00400449">
      <w:pPr>
        <w:pBdr>
          <w:top w:val="single" w:sz="12" w:space="2" w:color="auto"/>
          <w:left w:val="single" w:sz="12" w:space="4" w:color="auto"/>
          <w:bottom w:val="single" w:sz="12" w:space="1" w:color="auto"/>
          <w:right w:val="single" w:sz="12" w:space="4" w:color="auto"/>
        </w:pBdr>
        <w:jc w:val="center"/>
        <w:rPr>
          <w:b/>
          <w:lang w:val="en-US"/>
        </w:rPr>
      </w:pPr>
      <w:bookmarkStart w:id="0" w:name="_GoBack"/>
      <w:bookmarkEnd w:id="0"/>
      <w:r w:rsidRPr="00FF2183">
        <w:rPr>
          <w:b/>
          <w:i/>
          <w:lang w:val="en-US"/>
        </w:rPr>
        <w:t>Travel and Tourism</w:t>
      </w:r>
      <w:r w:rsidR="00400449" w:rsidRPr="009474C4">
        <w:rPr>
          <w:b/>
          <w:lang w:val="en-US"/>
        </w:rPr>
        <w:t xml:space="preserve">, </w:t>
      </w:r>
      <w:r>
        <w:rPr>
          <w:b/>
          <w:lang w:val="en-US"/>
        </w:rPr>
        <w:t>Semester 3</w:t>
      </w:r>
      <w:r w:rsidR="00400449" w:rsidRPr="009474C4">
        <w:rPr>
          <w:b/>
          <w:lang w:val="en-US"/>
        </w:rPr>
        <w:t xml:space="preserve">, Einheit </w:t>
      </w:r>
      <w:r>
        <w:rPr>
          <w:b/>
          <w:lang w:val="en-US"/>
        </w:rPr>
        <w:t>1</w:t>
      </w:r>
    </w:p>
    <w:p w:rsidR="00400449" w:rsidRPr="009474C4" w:rsidRDefault="00400449" w:rsidP="00400449">
      <w:pPr>
        <w:pBdr>
          <w:top w:val="single" w:sz="12" w:space="2" w:color="auto"/>
          <w:left w:val="single" w:sz="12" w:space="4" w:color="auto"/>
          <w:bottom w:val="single" w:sz="12" w:space="1" w:color="auto"/>
          <w:right w:val="single" w:sz="12" w:space="4" w:color="auto"/>
        </w:pBdr>
        <w:jc w:val="center"/>
        <w:rPr>
          <w:b/>
          <w:lang w:val="en-US"/>
        </w:rPr>
      </w:pPr>
    </w:p>
    <w:p w:rsidR="00400449" w:rsidRPr="009474C4" w:rsidRDefault="00400449" w:rsidP="00400449">
      <w:pPr>
        <w:jc w:val="center"/>
        <w:rPr>
          <w:b/>
          <w:lang w:val="en-US"/>
        </w:rPr>
      </w:pPr>
    </w:p>
    <w:p w:rsidR="00400449" w:rsidRPr="009474C4" w:rsidRDefault="00400449" w:rsidP="00400449">
      <w:pPr>
        <w:jc w:val="left"/>
        <w:rPr>
          <w:b/>
          <w:lang w:val="en-US"/>
        </w:rPr>
      </w:pP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11"/>
        <w:gridCol w:w="7053"/>
      </w:tblGrid>
      <w:tr w:rsidR="00400449" w:rsidRPr="00D346BC" w:rsidTr="00D26D69">
        <w:tc>
          <w:tcPr>
            <w:tcW w:w="2411"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3" w:type="dxa"/>
            <w:tcBorders>
              <w:left w:val="single" w:sz="12" w:space="0" w:color="auto"/>
            </w:tcBorders>
          </w:tcPr>
          <w:p w:rsidR="00400449" w:rsidRPr="00400449" w:rsidRDefault="009474C4" w:rsidP="00310BA4">
            <w:pPr>
              <w:spacing w:before="120" w:after="120"/>
              <w:jc w:val="left"/>
              <w:rPr>
                <w:i/>
              </w:rPr>
            </w:pPr>
            <w:r>
              <w:rPr>
                <w:i/>
              </w:rPr>
              <w:t xml:space="preserve">Lost in London </w:t>
            </w:r>
          </w:p>
        </w:tc>
      </w:tr>
      <w:tr w:rsidR="00400449" w:rsidRPr="00D346BC" w:rsidTr="00D26D69">
        <w:tc>
          <w:tcPr>
            <w:tcW w:w="2411"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bookmarkStart w:id="1" w:name="Kontrollkästchen1"/>
        <w:tc>
          <w:tcPr>
            <w:tcW w:w="7053" w:type="dxa"/>
            <w:tcBorders>
              <w:left w:val="single" w:sz="12" w:space="0" w:color="auto"/>
            </w:tcBorders>
          </w:tcPr>
          <w:p w:rsidR="00400449" w:rsidRDefault="009474C4" w:rsidP="00310BA4">
            <w:pPr>
              <w:spacing w:before="120" w:after="120"/>
              <w:jc w:val="left"/>
            </w:pPr>
            <w:r>
              <w:rPr>
                <w:b/>
              </w:rPr>
              <w:fldChar w:fldCharType="begin">
                <w:ffData>
                  <w:name w:val="Kontrollkästchen1"/>
                  <w:enabled/>
                  <w:calcOnExit w:val="0"/>
                  <w:checkBox>
                    <w:sizeAuto/>
                    <w:default w:val="1"/>
                  </w:checkBox>
                </w:ffData>
              </w:fldChar>
            </w:r>
            <w:r>
              <w:rPr>
                <w:b/>
              </w:rPr>
              <w:instrText xml:space="preserve"> FORMCHECKBOX </w:instrText>
            </w:r>
            <w:r>
              <w:rPr>
                <w:b/>
              </w:rPr>
            </w:r>
            <w:r>
              <w:rPr>
                <w:b/>
              </w:rPr>
              <w:fldChar w:fldCharType="end"/>
            </w:r>
            <w:bookmarkEnd w:id="1"/>
            <w:r w:rsidR="00400449" w:rsidRPr="00D346BC">
              <w:rPr>
                <w:b/>
              </w:rPr>
              <w:t xml:space="preserve"> </w:t>
            </w:r>
            <w:r w:rsidR="00400449" w:rsidRPr="00FF5F94">
              <w:t>H</w:t>
            </w:r>
            <w:r w:rsidR="00FF2183">
              <w:t>örverstehen</w:t>
            </w:r>
            <w:r w:rsidR="00400449" w:rsidRPr="00FF5F94">
              <w:t>/ H</w:t>
            </w:r>
            <w:r w:rsidR="00FF2183">
              <w:t>ör</w:t>
            </w:r>
            <w:r w:rsidR="00400449" w:rsidRPr="00FF5F94">
              <w:t>-Sehverstehen</w:t>
            </w:r>
          </w:p>
          <w:p w:rsidR="00400449" w:rsidRPr="00FF5F94" w:rsidRDefault="00400449" w:rsidP="00310BA4">
            <w:pPr>
              <w:spacing w:before="120" w:after="120"/>
              <w:jc w:val="left"/>
            </w:pPr>
            <w:r>
              <w:fldChar w:fldCharType="begin">
                <w:ffData>
                  <w:name w:val=""/>
                  <w:enabled/>
                  <w:calcOnExit w:val="0"/>
                  <w:checkBox>
                    <w:sizeAuto/>
                    <w:default w:val="0"/>
                  </w:checkBox>
                </w:ffData>
              </w:fldChar>
            </w:r>
            <w:r>
              <w:instrText xml:space="preserve"> FORMCHECKBOX </w:instrText>
            </w:r>
            <w:r>
              <w:fldChar w:fldCharType="end"/>
            </w:r>
            <w:r w:rsidRPr="000E2877">
              <w:t xml:space="preserve"> </w:t>
            </w:r>
            <w:r w:rsidRPr="00FF5F94">
              <w:t>L</w:t>
            </w:r>
            <w:r w:rsidR="00FF2183">
              <w:t>eseverstehen</w:t>
            </w:r>
          </w:p>
          <w:bookmarkStart w:id="2" w:name="Kontrollkästchen3"/>
          <w:p w:rsidR="00400449" w:rsidRDefault="00400449" w:rsidP="00310BA4">
            <w:pPr>
              <w:spacing w:before="120" w:after="120"/>
              <w:jc w:val="left"/>
            </w:pPr>
            <w:r>
              <w:fldChar w:fldCharType="begin">
                <w:ffData>
                  <w:name w:val="Kontrollkästchen3"/>
                  <w:enabled/>
                  <w:calcOnExit w:val="0"/>
                  <w:checkBox>
                    <w:sizeAuto/>
                    <w:default w:val="0"/>
                  </w:checkBox>
                </w:ffData>
              </w:fldChar>
            </w:r>
            <w:r>
              <w:instrText xml:space="preserve"> FORMCHECKBOX </w:instrText>
            </w:r>
            <w:r>
              <w:fldChar w:fldCharType="end"/>
            </w:r>
            <w:bookmarkEnd w:id="2"/>
            <w:r w:rsidRPr="00FF5F94">
              <w:t xml:space="preserve"> </w:t>
            </w:r>
            <w:r w:rsidRPr="00400449">
              <w:t>Schreiben</w:t>
            </w:r>
          </w:p>
          <w:bookmarkStart w:id="3" w:name="Kontrollkästchen6"/>
          <w:p w:rsidR="00400449" w:rsidRPr="00FF5F94" w:rsidRDefault="009474C4" w:rsidP="00310BA4">
            <w:pPr>
              <w:spacing w:before="120" w:after="120"/>
              <w:jc w:val="left"/>
            </w:pPr>
            <w:r>
              <w:fldChar w:fldCharType="begin">
                <w:ffData>
                  <w:name w:val="Kontrollkästchen6"/>
                  <w:enabled/>
                  <w:calcOnExit w:val="0"/>
                  <w:checkBox>
                    <w:sizeAuto/>
                    <w:default w:val="1"/>
                  </w:checkBox>
                </w:ffData>
              </w:fldChar>
            </w:r>
            <w:r>
              <w:instrText xml:space="preserve"> FORMCHECKBOX </w:instrText>
            </w:r>
            <w:r>
              <w:fldChar w:fldCharType="end"/>
            </w:r>
            <w:bookmarkEnd w:id="3"/>
            <w:r w:rsidR="00400449">
              <w:t xml:space="preserve"> </w:t>
            </w:r>
            <w:r w:rsidR="00400449" w:rsidRPr="00780B95">
              <w:t>Sprechen</w:t>
            </w:r>
          </w:p>
          <w:p w:rsidR="00400449" w:rsidRPr="00FF5F94" w:rsidRDefault="00400449" w:rsidP="00310BA4">
            <w:pPr>
              <w:spacing w:before="120" w:after="120"/>
              <w:jc w:val="left"/>
            </w:pPr>
            <w:r w:rsidRPr="00FF5F94">
              <w:fldChar w:fldCharType="begin">
                <w:ffData>
                  <w:name w:val="Kontrollkästchen4"/>
                  <w:enabled/>
                  <w:calcOnExit w:val="0"/>
                  <w:checkBox>
                    <w:sizeAuto/>
                    <w:default w:val="0"/>
                  </w:checkBox>
                </w:ffData>
              </w:fldChar>
            </w:r>
            <w:bookmarkStart w:id="4" w:name="Kontrollkästchen4"/>
            <w:r w:rsidRPr="00FF5F94">
              <w:instrText xml:space="preserve"> </w:instrText>
            </w:r>
            <w:r>
              <w:instrText>FORMCHECKBOX</w:instrText>
            </w:r>
            <w:r w:rsidRPr="00FF5F94">
              <w:instrText xml:space="preserve"> </w:instrText>
            </w:r>
            <w:r w:rsidRPr="00FF5F94">
              <w:fldChar w:fldCharType="end"/>
            </w:r>
            <w:bookmarkEnd w:id="4"/>
            <w:r w:rsidRPr="00FF5F94">
              <w:t xml:space="preserve"> Sprachmittlung</w:t>
            </w:r>
          </w:p>
          <w:bookmarkStart w:id="5" w:name="Kontrollkästchen5"/>
          <w:p w:rsidR="00400449" w:rsidRPr="00A17AE7" w:rsidRDefault="00780B95" w:rsidP="00400449">
            <w:pPr>
              <w:spacing w:before="120" w:after="120"/>
              <w:jc w:val="left"/>
            </w:pPr>
            <w:r>
              <w:fldChar w:fldCharType="begin">
                <w:ffData>
                  <w:name w:val="Kontrollkästchen5"/>
                  <w:enabled/>
                  <w:calcOnExit w:val="0"/>
                  <w:checkBox>
                    <w:sizeAuto/>
                    <w:default w:val="1"/>
                  </w:checkBox>
                </w:ffData>
              </w:fldChar>
            </w:r>
            <w:r>
              <w:instrText xml:space="preserve"> FORMCHECKBOX </w:instrText>
            </w:r>
            <w:r>
              <w:fldChar w:fldCharType="end"/>
            </w:r>
            <w:bookmarkEnd w:id="5"/>
            <w:r w:rsidR="00400449" w:rsidRPr="00FF5F94">
              <w:t xml:space="preserve"> Verfügbarkeit sprachl. Mittel</w:t>
            </w:r>
            <w:r w:rsidR="00400449">
              <w:t xml:space="preserve"> und </w:t>
            </w:r>
            <w:r w:rsidR="00400449" w:rsidRPr="00405672">
              <w:t>Sprachbewussth</w:t>
            </w:r>
            <w:r w:rsidR="00400449" w:rsidRPr="002D1E57">
              <w:t>eit</w:t>
            </w:r>
          </w:p>
        </w:tc>
      </w:tr>
      <w:tr w:rsidR="00691132" w:rsidRPr="00D346BC" w:rsidTr="00795D4C">
        <w:tc>
          <w:tcPr>
            <w:tcW w:w="2411" w:type="dxa"/>
            <w:vMerge w:val="restart"/>
            <w:tcBorders>
              <w:top w:val="single" w:sz="4" w:space="0" w:color="auto"/>
              <w:right w:val="single" w:sz="12" w:space="0" w:color="auto"/>
            </w:tcBorders>
            <w:shd w:val="clear" w:color="auto" w:fill="C0C0C0"/>
          </w:tcPr>
          <w:p w:rsidR="00691132" w:rsidRDefault="00691132" w:rsidP="00310BA4">
            <w:pPr>
              <w:spacing w:before="120" w:after="120"/>
              <w:jc w:val="left"/>
              <w:rPr>
                <w:b/>
              </w:rPr>
            </w:pPr>
            <w:r>
              <w:rPr>
                <w:b/>
                <w:lang w:val="en-GB"/>
              </w:rPr>
              <w:t>Bezug zum KLP:</w:t>
            </w:r>
          </w:p>
        </w:tc>
        <w:tc>
          <w:tcPr>
            <w:tcW w:w="7053" w:type="dxa"/>
            <w:tcBorders>
              <w:left w:val="single" w:sz="12" w:space="0" w:color="auto"/>
            </w:tcBorders>
          </w:tcPr>
          <w:p w:rsidR="00691132" w:rsidRPr="00691132" w:rsidRDefault="00691132" w:rsidP="00310BA4">
            <w:pPr>
              <w:spacing w:before="120" w:after="120"/>
              <w:jc w:val="left"/>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 </w:t>
            </w:r>
          </w:p>
        </w:tc>
      </w:tr>
      <w:tr w:rsidR="00691132" w:rsidRPr="00691132" w:rsidTr="00795D4C">
        <w:trPr>
          <w:trHeight w:val="183"/>
        </w:trPr>
        <w:tc>
          <w:tcPr>
            <w:tcW w:w="2411" w:type="dxa"/>
            <w:vMerge/>
            <w:tcBorders>
              <w:right w:val="single" w:sz="12" w:space="0" w:color="auto"/>
            </w:tcBorders>
            <w:shd w:val="clear" w:color="auto" w:fill="C0C0C0"/>
          </w:tcPr>
          <w:p w:rsidR="00691132" w:rsidRPr="00691132" w:rsidRDefault="00691132" w:rsidP="00310BA4">
            <w:pPr>
              <w:spacing w:before="120" w:after="120"/>
              <w:jc w:val="left"/>
              <w:rPr>
                <w:b/>
              </w:rPr>
            </w:pPr>
          </w:p>
        </w:tc>
        <w:tc>
          <w:tcPr>
            <w:tcW w:w="7053" w:type="dxa"/>
            <w:tcBorders>
              <w:left w:val="single" w:sz="12" w:space="0" w:color="auto"/>
            </w:tcBorders>
            <w:shd w:val="clear" w:color="auto" w:fill="C0C0C0"/>
          </w:tcPr>
          <w:p w:rsidR="00691132" w:rsidRPr="00691132" w:rsidRDefault="00691132" w:rsidP="00310BA4">
            <w:pPr>
              <w:spacing w:before="120" w:after="120"/>
              <w:jc w:val="left"/>
              <w:rPr>
                <w:b/>
              </w:rPr>
            </w:pPr>
            <w:r w:rsidRPr="00691132">
              <w:rPr>
                <w:b/>
              </w:rPr>
              <w:t>Kommunikative Kompetenzen</w:t>
            </w:r>
          </w:p>
        </w:tc>
      </w:tr>
      <w:tr w:rsidR="00691132" w:rsidRPr="009203E1" w:rsidTr="00D26D69">
        <w:trPr>
          <w:trHeight w:val="183"/>
        </w:trPr>
        <w:tc>
          <w:tcPr>
            <w:tcW w:w="2411" w:type="dxa"/>
            <w:vMerge/>
            <w:tcBorders>
              <w:right w:val="single" w:sz="12" w:space="0" w:color="auto"/>
            </w:tcBorders>
            <w:shd w:val="clear" w:color="auto" w:fill="C0C0C0"/>
          </w:tcPr>
          <w:p w:rsidR="00691132" w:rsidRPr="00691132" w:rsidRDefault="00691132" w:rsidP="00310BA4">
            <w:pPr>
              <w:spacing w:before="120" w:after="120"/>
              <w:jc w:val="left"/>
              <w:rPr>
                <w:b/>
              </w:rPr>
            </w:pPr>
          </w:p>
        </w:tc>
        <w:tc>
          <w:tcPr>
            <w:tcW w:w="7053" w:type="dxa"/>
            <w:tcBorders>
              <w:left w:val="single" w:sz="12" w:space="0" w:color="auto"/>
            </w:tcBorders>
          </w:tcPr>
          <w:p w:rsidR="00691132" w:rsidRPr="009203E1" w:rsidRDefault="00FF2183" w:rsidP="00310BA4">
            <w:pPr>
              <w:spacing w:before="120" w:after="120"/>
              <w:jc w:val="left"/>
              <w:rPr>
                <w:u w:val="single"/>
              </w:rPr>
            </w:pPr>
            <w:r>
              <w:rPr>
                <w:u w:val="single"/>
              </w:rPr>
              <w:t>Sprechen:</w:t>
            </w:r>
            <w:r w:rsidR="00691132" w:rsidRPr="009203E1">
              <w:rPr>
                <w:u w:val="single"/>
              </w:rPr>
              <w:t xml:space="preserve"> </w:t>
            </w:r>
            <w:r>
              <w:rPr>
                <w:u w:val="single"/>
              </w:rPr>
              <w:t>A</w:t>
            </w:r>
            <w:r w:rsidR="00691132" w:rsidRPr="009203E1">
              <w:rPr>
                <w:u w:val="single"/>
              </w:rPr>
              <w:t>n Gesprächen teilnehmen</w:t>
            </w:r>
          </w:p>
          <w:p w:rsidR="00691132" w:rsidRPr="00691132" w:rsidRDefault="00691132" w:rsidP="00310BA4">
            <w:pPr>
              <w:spacing w:before="120" w:after="120"/>
              <w:jc w:val="left"/>
            </w:pPr>
            <w:r w:rsidRPr="00691132">
              <w:t>Sie können</w:t>
            </w:r>
          </w:p>
          <w:p w:rsidR="00691132" w:rsidRDefault="00691132" w:rsidP="009203E1">
            <w:pPr>
              <w:numPr>
                <w:ilvl w:val="0"/>
                <w:numId w:val="7"/>
              </w:numPr>
              <w:jc w:val="left"/>
            </w:pPr>
            <w:r>
              <w:t>anwendungsorientierte – auch forma</w:t>
            </w:r>
            <w:r w:rsidR="00FF2183">
              <w:t>lisierte – Gesprächssituationen</w:t>
            </w:r>
            <w:r>
              <w:t xml:space="preserve"> b</w:t>
            </w:r>
            <w:r>
              <w:t>e</w:t>
            </w:r>
            <w:r>
              <w:t>wältigen,</w:t>
            </w:r>
          </w:p>
          <w:p w:rsidR="00691132" w:rsidRDefault="00691132" w:rsidP="00207353">
            <w:pPr>
              <w:numPr>
                <w:ilvl w:val="0"/>
                <w:numId w:val="7"/>
              </w:numPr>
              <w:jc w:val="left"/>
            </w:pPr>
            <w:r w:rsidRPr="00355B4C">
              <w:t>bei sprachlichen Schwierigkeiten unter Verwendung adäquater Kompensationsstrategien G</w:t>
            </w:r>
            <w:r w:rsidRPr="00355B4C">
              <w:t>e</w:t>
            </w:r>
            <w:r w:rsidRPr="00355B4C">
              <w:t>spräche aufrechterhalten.</w:t>
            </w:r>
          </w:p>
          <w:p w:rsidR="00691132" w:rsidRPr="009203E1" w:rsidRDefault="00691132" w:rsidP="00207353">
            <w:pPr>
              <w:ind w:left="74"/>
              <w:jc w:val="left"/>
            </w:pPr>
          </w:p>
        </w:tc>
      </w:tr>
      <w:tr w:rsidR="00691132" w:rsidRPr="00D346BC" w:rsidTr="00D26D69">
        <w:trPr>
          <w:trHeight w:val="183"/>
        </w:trPr>
        <w:tc>
          <w:tcPr>
            <w:tcW w:w="2411" w:type="dxa"/>
            <w:vMerge/>
            <w:tcBorders>
              <w:right w:val="single" w:sz="12" w:space="0" w:color="auto"/>
            </w:tcBorders>
            <w:shd w:val="clear" w:color="auto" w:fill="C0C0C0"/>
          </w:tcPr>
          <w:p w:rsidR="00691132" w:rsidRPr="009203E1" w:rsidRDefault="00691132" w:rsidP="00310BA4">
            <w:pPr>
              <w:spacing w:before="120" w:after="120"/>
              <w:jc w:val="left"/>
              <w:rPr>
                <w:b/>
              </w:rPr>
            </w:pPr>
          </w:p>
        </w:tc>
        <w:tc>
          <w:tcPr>
            <w:tcW w:w="7053" w:type="dxa"/>
            <w:tcBorders>
              <w:left w:val="single" w:sz="12" w:space="0" w:color="auto"/>
            </w:tcBorders>
            <w:shd w:val="clear" w:color="auto" w:fill="C0C0C0"/>
          </w:tcPr>
          <w:p w:rsidR="00691132" w:rsidRPr="00EE1BC7" w:rsidRDefault="00691132" w:rsidP="00310BA4">
            <w:pPr>
              <w:spacing w:before="120" w:after="120"/>
              <w:jc w:val="left"/>
              <w:rPr>
                <w:b/>
                <w:lang w:val="en-GB"/>
              </w:rPr>
            </w:pPr>
            <w:r w:rsidRPr="00EE1BC7">
              <w:rPr>
                <w:b/>
                <w:lang w:val="en-GB"/>
              </w:rPr>
              <w:t>Interkulturelle Kompetenzen</w:t>
            </w:r>
          </w:p>
        </w:tc>
      </w:tr>
      <w:tr w:rsidR="00691132" w:rsidRPr="00E46487" w:rsidTr="00D26D69">
        <w:trPr>
          <w:trHeight w:val="183"/>
        </w:trPr>
        <w:tc>
          <w:tcPr>
            <w:tcW w:w="2411" w:type="dxa"/>
            <w:vMerge/>
            <w:tcBorders>
              <w:right w:val="single" w:sz="12" w:space="0" w:color="auto"/>
            </w:tcBorders>
            <w:shd w:val="clear" w:color="auto" w:fill="C0C0C0"/>
          </w:tcPr>
          <w:p w:rsidR="00691132" w:rsidRDefault="00691132" w:rsidP="00310BA4">
            <w:pPr>
              <w:spacing w:before="120" w:after="120"/>
              <w:jc w:val="left"/>
              <w:rPr>
                <w:b/>
                <w:lang w:val="en-GB"/>
              </w:rPr>
            </w:pPr>
          </w:p>
        </w:tc>
        <w:tc>
          <w:tcPr>
            <w:tcW w:w="7053" w:type="dxa"/>
            <w:tcBorders>
              <w:left w:val="single" w:sz="12" w:space="0" w:color="auto"/>
            </w:tcBorders>
          </w:tcPr>
          <w:p w:rsidR="00691132" w:rsidRDefault="00691132" w:rsidP="00310BA4">
            <w:pPr>
              <w:spacing w:before="120" w:after="120"/>
              <w:jc w:val="left"/>
              <w:rPr>
                <w:u w:val="single"/>
              </w:rPr>
            </w:pPr>
            <w:r w:rsidRPr="00DC6BB6">
              <w:rPr>
                <w:u w:val="single"/>
              </w:rPr>
              <w:t>Soziokulturelles Orientierungswissen</w:t>
            </w:r>
          </w:p>
          <w:p w:rsidR="00691132" w:rsidRDefault="00691132" w:rsidP="00310BA4">
            <w:pPr>
              <w:spacing w:before="120" w:after="120"/>
              <w:jc w:val="left"/>
              <w:rPr>
                <w:rFonts w:cs="Arial"/>
                <w:bCs/>
                <w:color w:val="000000"/>
                <w:szCs w:val="24"/>
              </w:rPr>
            </w:pPr>
            <w:r>
              <w:rPr>
                <w:rFonts w:cs="Arial"/>
                <w:b/>
                <w:bCs/>
                <w:color w:val="000000"/>
                <w:szCs w:val="24"/>
              </w:rPr>
              <w:t xml:space="preserve">Teilhabe am gesellschaftlichen Leben: </w:t>
            </w:r>
            <w:r w:rsidRPr="00DC6BB6">
              <w:rPr>
                <w:rFonts w:cs="Arial"/>
                <w:bCs/>
                <w:color w:val="000000"/>
                <w:szCs w:val="24"/>
              </w:rPr>
              <w:t>touristischer</w:t>
            </w:r>
            <w:r>
              <w:rPr>
                <w:rFonts w:cs="Arial"/>
                <w:b/>
                <w:bCs/>
                <w:color w:val="000000"/>
                <w:szCs w:val="24"/>
              </w:rPr>
              <w:t xml:space="preserve"> </w:t>
            </w:r>
            <w:r>
              <w:rPr>
                <w:rFonts w:cs="Arial"/>
                <w:bCs/>
                <w:color w:val="000000"/>
                <w:szCs w:val="24"/>
              </w:rPr>
              <w:t>Einblick in die Landeshauptstadt London</w:t>
            </w:r>
          </w:p>
          <w:p w:rsidR="00691132" w:rsidRDefault="00691132" w:rsidP="00310BA4">
            <w:pPr>
              <w:spacing w:before="120" w:after="120"/>
              <w:jc w:val="left"/>
              <w:rPr>
                <w:u w:val="single"/>
              </w:rPr>
            </w:pPr>
            <w:r>
              <w:rPr>
                <w:u w:val="single"/>
              </w:rPr>
              <w:t>Handeln in Begegnungssituationen</w:t>
            </w:r>
          </w:p>
          <w:p w:rsidR="00691132" w:rsidRDefault="00691132" w:rsidP="00310BA4">
            <w:pPr>
              <w:spacing w:before="120" w:after="120"/>
              <w:jc w:val="left"/>
            </w:pPr>
            <w:r>
              <w:t>Sie können</w:t>
            </w:r>
          </w:p>
          <w:p w:rsidR="00691132" w:rsidRPr="00207353" w:rsidRDefault="00691132" w:rsidP="00FF2183">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r w:rsidRPr="00F917A9">
              <w:rPr>
                <w:rFonts w:cs="Arial"/>
                <w:szCs w:val="24"/>
              </w:rPr>
              <w:t>in Begegnungssituationen im eigenen Umfeld, z.</w:t>
            </w:r>
            <w:r>
              <w:rPr>
                <w:rFonts w:cs="Arial"/>
                <w:szCs w:val="24"/>
              </w:rPr>
              <w:t xml:space="preserve"> </w:t>
            </w:r>
            <w:r w:rsidRPr="00F917A9">
              <w:rPr>
                <w:rFonts w:cs="Arial"/>
                <w:szCs w:val="24"/>
              </w:rPr>
              <w:t>B. in Berufspraktika, auf Reisen oder in Telefongesprächen gängige kulturspezifische Konventi</w:t>
            </w:r>
            <w:r w:rsidRPr="00F917A9">
              <w:rPr>
                <w:rFonts w:cs="Arial"/>
                <w:szCs w:val="24"/>
              </w:rPr>
              <w:t>o</w:t>
            </w:r>
            <w:r w:rsidRPr="00F917A9">
              <w:rPr>
                <w:rFonts w:cs="Arial"/>
                <w:szCs w:val="24"/>
              </w:rPr>
              <w:t>nen</w:t>
            </w:r>
            <w:r>
              <w:rPr>
                <w:rFonts w:cs="Arial"/>
                <w:szCs w:val="24"/>
              </w:rPr>
              <w:t>,</w:t>
            </w:r>
            <w:r w:rsidRPr="00F917A9">
              <w:rPr>
                <w:rFonts w:cs="Arial"/>
                <w:szCs w:val="24"/>
              </w:rPr>
              <w:t xml:space="preserve"> u.</w:t>
            </w:r>
            <w:r>
              <w:rPr>
                <w:rFonts w:cs="Arial"/>
                <w:szCs w:val="24"/>
              </w:rPr>
              <w:t> </w:t>
            </w:r>
            <w:r w:rsidRPr="00F917A9">
              <w:rPr>
                <w:rFonts w:cs="Arial"/>
                <w:szCs w:val="24"/>
              </w:rPr>
              <w:t>a. Höflichkeitsformeln, beachten  und dabei ein grundlegendes Repertoire an kulturspezifischen Verhaltensweisen und Interaktionsregeln (u. a. Begrüßen, Verabschieden</w:t>
            </w:r>
            <w:r>
              <w:rPr>
                <w:rFonts w:cs="Arial"/>
                <w:szCs w:val="24"/>
              </w:rPr>
              <w:t>, Höflichkeit</w:t>
            </w:r>
            <w:r>
              <w:rPr>
                <w:rFonts w:cs="Arial"/>
                <w:szCs w:val="24"/>
              </w:rPr>
              <w:t>s</w:t>
            </w:r>
            <w:r>
              <w:rPr>
                <w:rFonts w:cs="Arial"/>
                <w:szCs w:val="24"/>
              </w:rPr>
              <w:t>formeln) anwenden.</w:t>
            </w:r>
          </w:p>
        </w:tc>
      </w:tr>
      <w:tr w:rsidR="00691132" w:rsidRPr="00400449" w:rsidTr="00D26D69">
        <w:trPr>
          <w:trHeight w:val="265"/>
        </w:trPr>
        <w:tc>
          <w:tcPr>
            <w:tcW w:w="2411" w:type="dxa"/>
            <w:vMerge/>
            <w:tcBorders>
              <w:right w:val="single" w:sz="12" w:space="0" w:color="auto"/>
            </w:tcBorders>
            <w:shd w:val="clear" w:color="auto" w:fill="C0C0C0"/>
          </w:tcPr>
          <w:p w:rsidR="00691132" w:rsidRPr="00E46487" w:rsidRDefault="00691132" w:rsidP="00310BA4">
            <w:pPr>
              <w:spacing w:before="120" w:after="120"/>
              <w:jc w:val="left"/>
              <w:rPr>
                <w:b/>
              </w:rPr>
            </w:pPr>
          </w:p>
        </w:tc>
        <w:tc>
          <w:tcPr>
            <w:tcW w:w="7053" w:type="dxa"/>
            <w:tcBorders>
              <w:left w:val="single" w:sz="12" w:space="0" w:color="auto"/>
            </w:tcBorders>
            <w:shd w:val="clear" w:color="auto" w:fill="C0C0C0"/>
          </w:tcPr>
          <w:p w:rsidR="00691132" w:rsidRPr="00EE1BC7" w:rsidRDefault="00691132" w:rsidP="00310BA4">
            <w:pPr>
              <w:spacing w:before="120" w:after="120"/>
              <w:jc w:val="left"/>
              <w:rPr>
                <w:b/>
              </w:rPr>
            </w:pPr>
            <w:r w:rsidRPr="00EE1BC7">
              <w:rPr>
                <w:b/>
              </w:rPr>
              <w:t>Kompetenzen der Verfügbarkeit sprachlicher Mittel und der Sprachbewusstheit</w:t>
            </w:r>
          </w:p>
        </w:tc>
      </w:tr>
      <w:tr w:rsidR="00691132" w:rsidRPr="00400449" w:rsidTr="00D26D69">
        <w:trPr>
          <w:trHeight w:val="265"/>
        </w:trPr>
        <w:tc>
          <w:tcPr>
            <w:tcW w:w="2411" w:type="dxa"/>
            <w:vMerge/>
            <w:tcBorders>
              <w:right w:val="single" w:sz="12" w:space="0" w:color="auto"/>
            </w:tcBorders>
            <w:shd w:val="clear" w:color="auto" w:fill="C0C0C0"/>
          </w:tcPr>
          <w:p w:rsidR="00691132" w:rsidRDefault="00691132" w:rsidP="00310BA4">
            <w:pPr>
              <w:spacing w:before="120" w:after="120"/>
              <w:jc w:val="left"/>
              <w:rPr>
                <w:b/>
                <w:lang w:val="en-GB"/>
              </w:rPr>
            </w:pPr>
          </w:p>
        </w:tc>
        <w:tc>
          <w:tcPr>
            <w:tcW w:w="7053" w:type="dxa"/>
            <w:tcBorders>
              <w:left w:val="single" w:sz="12" w:space="0" w:color="auto"/>
            </w:tcBorders>
          </w:tcPr>
          <w:p w:rsidR="00691132" w:rsidRDefault="00691132" w:rsidP="00310BA4">
            <w:pPr>
              <w:spacing w:before="120" w:after="120"/>
              <w:jc w:val="left"/>
              <w:rPr>
                <w:u w:val="single"/>
              </w:rPr>
            </w:pPr>
            <w:r w:rsidRPr="00ED6EA2">
              <w:rPr>
                <w:u w:val="single"/>
              </w:rPr>
              <w:t>Aussprache und Intonation</w:t>
            </w:r>
          </w:p>
          <w:p w:rsidR="00691132" w:rsidRPr="00552F05" w:rsidRDefault="00691132" w:rsidP="00ED6EA2">
            <w:pPr>
              <w:autoSpaceDE w:val="0"/>
              <w:autoSpaceDN w:val="0"/>
              <w:adjustRightInd w:val="0"/>
              <w:rPr>
                <w:rFonts w:cs="Arial"/>
                <w:szCs w:val="16"/>
              </w:rPr>
            </w:pPr>
            <w:r w:rsidRPr="00552F05">
              <w:rPr>
                <w:rFonts w:cs="Arial"/>
                <w:szCs w:val="16"/>
              </w:rPr>
              <w:t>Sie können</w:t>
            </w:r>
          </w:p>
          <w:p w:rsidR="00691132" w:rsidRPr="00552F05" w:rsidRDefault="00691132" w:rsidP="00FF2183">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16"/>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weitgehend angemessen realisieren,</w:t>
            </w:r>
          </w:p>
          <w:p w:rsidR="00691132" w:rsidRDefault="00691132" w:rsidP="00310BA4">
            <w:pPr>
              <w:spacing w:before="120" w:after="120"/>
              <w:jc w:val="left"/>
              <w:rPr>
                <w:u w:val="single"/>
              </w:rPr>
            </w:pPr>
            <w:r>
              <w:rPr>
                <w:u w:val="single"/>
              </w:rPr>
              <w:t>Sprachbewuss</w:t>
            </w:r>
            <w:r w:rsidR="00A57EF1">
              <w:rPr>
                <w:u w:val="single"/>
              </w:rPr>
              <w:t>theit</w:t>
            </w:r>
          </w:p>
          <w:p w:rsidR="00FF2183" w:rsidRPr="00FF2183" w:rsidRDefault="00FF2183" w:rsidP="00310BA4">
            <w:pPr>
              <w:spacing w:before="120" w:after="120"/>
              <w:jc w:val="left"/>
            </w:pPr>
            <w:r>
              <w:t>Sie können</w:t>
            </w:r>
          </w:p>
          <w:p w:rsidR="00691132" w:rsidRPr="002C38E0" w:rsidRDefault="00691132" w:rsidP="00ED6EA2">
            <w:pPr>
              <w:pStyle w:val="aufzhlung-1"/>
              <w:numPr>
                <w:ilvl w:val="0"/>
                <w:numId w:val="10"/>
              </w:numPr>
              <w:spacing w:line="240" w:lineRule="auto"/>
              <w:rPr>
                <w:rFonts w:cs="Arial"/>
                <w:szCs w:val="24"/>
              </w:rPr>
            </w:pPr>
            <w:r w:rsidRPr="002C38E0">
              <w:rPr>
                <w:rFonts w:cs="Arial"/>
                <w:szCs w:val="24"/>
              </w:rPr>
              <w:t>ihren Sprachgebrauch an die Erfordernisse einfacher Kommunikationss</w:t>
            </w:r>
            <w:r w:rsidRPr="002C38E0">
              <w:rPr>
                <w:rFonts w:cs="Arial"/>
                <w:szCs w:val="24"/>
              </w:rPr>
              <w:t>i</w:t>
            </w:r>
            <w:r w:rsidRPr="002C38E0">
              <w:rPr>
                <w:rFonts w:cs="Arial"/>
                <w:szCs w:val="24"/>
              </w:rPr>
              <w:t>tuationen anpassen, u. a. mündlicher vs. schriftlicher Stil, Höflichkeitsfo</w:t>
            </w:r>
            <w:r w:rsidRPr="002C38E0">
              <w:rPr>
                <w:rFonts w:cs="Arial"/>
                <w:szCs w:val="24"/>
              </w:rPr>
              <w:t>r</w:t>
            </w:r>
            <w:r w:rsidRPr="002C38E0">
              <w:rPr>
                <w:rFonts w:cs="Arial"/>
                <w:szCs w:val="24"/>
              </w:rPr>
              <w:t>men,</w:t>
            </w:r>
          </w:p>
          <w:p w:rsidR="00691132" w:rsidRDefault="00691132" w:rsidP="00207353">
            <w:pPr>
              <w:pStyle w:val="aufzhlung-1"/>
              <w:numPr>
                <w:ilvl w:val="0"/>
                <w:numId w:val="10"/>
              </w:numPr>
              <w:spacing w:line="240" w:lineRule="auto"/>
            </w:pPr>
            <w:r w:rsidRPr="002C38E0">
              <w:t xml:space="preserve">ihre Kommunikation selbstständig planen und </w:t>
            </w:r>
            <w:proofErr w:type="spellStart"/>
            <w:r w:rsidRPr="002C38E0">
              <w:t>Kommuni</w:t>
            </w:r>
            <w:r w:rsidR="00FF2183">
              <w:t>-</w:t>
            </w:r>
            <w:r w:rsidRPr="002C38E0">
              <w:t>kationspro</w:t>
            </w:r>
            <w:r w:rsidRPr="002C38E0">
              <w:t>b</w:t>
            </w:r>
            <w:r w:rsidRPr="002C38E0">
              <w:t>leme</w:t>
            </w:r>
            <w:proofErr w:type="spellEnd"/>
            <w:r w:rsidRPr="002C38E0">
              <w:t xml:space="preserve"> zunehmend selbstständig lösen, z. B. durch Benutzung eines </w:t>
            </w:r>
            <w:r>
              <w:t xml:space="preserve">ein- oder </w:t>
            </w:r>
            <w:r w:rsidRPr="002C38E0">
              <w:t>zweisprachigen Wörterbuchs</w:t>
            </w:r>
            <w:r>
              <w:t>.</w:t>
            </w:r>
          </w:p>
          <w:p w:rsidR="00691132" w:rsidRPr="00207353" w:rsidRDefault="00691132" w:rsidP="00207353"/>
        </w:tc>
      </w:tr>
      <w:tr w:rsidR="00691132" w:rsidRPr="00400449" w:rsidTr="00D26D69">
        <w:trPr>
          <w:trHeight w:val="255"/>
        </w:trPr>
        <w:tc>
          <w:tcPr>
            <w:tcW w:w="2411" w:type="dxa"/>
            <w:vMerge/>
            <w:tcBorders>
              <w:right w:val="single" w:sz="12" w:space="0" w:color="auto"/>
            </w:tcBorders>
            <w:shd w:val="clear" w:color="auto" w:fill="C0C0C0"/>
          </w:tcPr>
          <w:p w:rsidR="00691132" w:rsidRPr="009474C4" w:rsidRDefault="00691132" w:rsidP="00310BA4">
            <w:pPr>
              <w:spacing w:before="120" w:after="120"/>
              <w:jc w:val="left"/>
              <w:rPr>
                <w:b/>
              </w:rPr>
            </w:pPr>
          </w:p>
        </w:tc>
        <w:tc>
          <w:tcPr>
            <w:tcW w:w="7053" w:type="dxa"/>
            <w:tcBorders>
              <w:left w:val="single" w:sz="12" w:space="0" w:color="auto"/>
            </w:tcBorders>
            <w:shd w:val="clear" w:color="auto" w:fill="C0C0C0"/>
          </w:tcPr>
          <w:p w:rsidR="00691132" w:rsidRPr="00EE1BC7" w:rsidRDefault="00691132" w:rsidP="00310BA4">
            <w:pPr>
              <w:spacing w:before="120" w:after="120"/>
              <w:jc w:val="left"/>
              <w:rPr>
                <w:b/>
              </w:rPr>
            </w:pPr>
            <w:r w:rsidRPr="00EE1BC7">
              <w:rPr>
                <w:b/>
              </w:rPr>
              <w:t>Methodische Kompetenzen</w:t>
            </w:r>
          </w:p>
        </w:tc>
      </w:tr>
      <w:tr w:rsidR="00691132" w:rsidRPr="00400449" w:rsidTr="00D26D69">
        <w:trPr>
          <w:trHeight w:val="255"/>
        </w:trPr>
        <w:tc>
          <w:tcPr>
            <w:tcW w:w="2411" w:type="dxa"/>
            <w:vMerge/>
            <w:tcBorders>
              <w:bottom w:val="single" w:sz="4" w:space="0" w:color="auto"/>
              <w:right w:val="single" w:sz="12" w:space="0" w:color="auto"/>
            </w:tcBorders>
            <w:shd w:val="clear" w:color="auto" w:fill="C0C0C0"/>
          </w:tcPr>
          <w:p w:rsidR="00691132" w:rsidRDefault="00691132" w:rsidP="00310BA4">
            <w:pPr>
              <w:spacing w:before="120" w:after="120"/>
              <w:jc w:val="left"/>
              <w:rPr>
                <w:b/>
                <w:lang w:val="en-GB"/>
              </w:rPr>
            </w:pPr>
          </w:p>
        </w:tc>
        <w:tc>
          <w:tcPr>
            <w:tcW w:w="7053" w:type="dxa"/>
            <w:tcBorders>
              <w:left w:val="single" w:sz="12" w:space="0" w:color="auto"/>
            </w:tcBorders>
          </w:tcPr>
          <w:p w:rsidR="00691132" w:rsidRDefault="00691132" w:rsidP="00310BA4">
            <w:pPr>
              <w:spacing w:before="120" w:after="120"/>
              <w:jc w:val="left"/>
              <w:rPr>
                <w:u w:val="single"/>
              </w:rPr>
            </w:pPr>
            <w:r>
              <w:rPr>
                <w:u w:val="single"/>
              </w:rPr>
              <w:t>Selbstständiges und kooperatives Sprachenlernen</w:t>
            </w:r>
          </w:p>
          <w:p w:rsidR="00691132" w:rsidRPr="00477DAC" w:rsidRDefault="00691132" w:rsidP="00ED6EA2">
            <w:pPr>
              <w:keepNext/>
              <w:spacing w:before="120" w:after="120"/>
              <w:rPr>
                <w:rFonts w:cs="Arial"/>
                <w:szCs w:val="24"/>
              </w:rPr>
            </w:pPr>
            <w:r w:rsidRPr="00477DAC">
              <w:rPr>
                <w:rFonts w:cs="Arial"/>
                <w:szCs w:val="24"/>
              </w:rPr>
              <w:t>Sie können</w:t>
            </w:r>
          </w:p>
          <w:p w:rsidR="00691132" w:rsidRDefault="00691132" w:rsidP="00ED6EA2">
            <w:pPr>
              <w:pStyle w:val="aufzhlung-1"/>
              <w:numPr>
                <w:ilvl w:val="0"/>
                <w:numId w:val="11"/>
              </w:numPr>
              <w:spacing w:line="240" w:lineRule="auto"/>
            </w:pPr>
            <w:r w:rsidRPr="00477DAC">
              <w:t>Lern- und Arbeitsprozesse selbstst</w:t>
            </w:r>
            <w:r>
              <w:t>ändig und kooperativ gestalten.</w:t>
            </w:r>
          </w:p>
          <w:p w:rsidR="00691132" w:rsidRPr="00ED6EA2" w:rsidRDefault="00691132" w:rsidP="00ED6EA2"/>
        </w:tc>
      </w:tr>
      <w:tr w:rsidR="00400449" w:rsidRPr="00D346BC" w:rsidTr="00D26D69">
        <w:tc>
          <w:tcPr>
            <w:tcW w:w="2411"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sidRPr="00D346BC">
              <w:rPr>
                <w:b/>
                <w:lang w:val="en-GB"/>
              </w:rPr>
              <w:t>GeR:</w:t>
            </w:r>
          </w:p>
        </w:tc>
        <w:tc>
          <w:tcPr>
            <w:tcW w:w="7053" w:type="dxa"/>
            <w:tcBorders>
              <w:left w:val="single" w:sz="12" w:space="0" w:color="auto"/>
            </w:tcBorders>
          </w:tcPr>
          <w:p w:rsidR="00400449" w:rsidRPr="00EE1BC7" w:rsidRDefault="009474C4" w:rsidP="00310BA4">
            <w:pPr>
              <w:spacing w:before="120" w:after="120"/>
              <w:jc w:val="left"/>
            </w:pPr>
            <w:r w:rsidRPr="00EE1BC7">
              <w:t>A 2+</w:t>
            </w:r>
          </w:p>
        </w:tc>
      </w:tr>
      <w:tr w:rsidR="00400449" w:rsidRPr="00D346BC" w:rsidTr="00D26D69">
        <w:tc>
          <w:tcPr>
            <w:tcW w:w="2411"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lang w:val="en-GB"/>
              </w:rPr>
            </w:pPr>
            <w:r>
              <w:rPr>
                <w:b/>
                <w:lang w:val="en-GB"/>
              </w:rPr>
              <w:t>Bearbeitungszeit:</w:t>
            </w:r>
          </w:p>
        </w:tc>
        <w:tc>
          <w:tcPr>
            <w:tcW w:w="7053" w:type="dxa"/>
            <w:tcBorders>
              <w:left w:val="single" w:sz="12" w:space="0" w:color="auto"/>
            </w:tcBorders>
          </w:tcPr>
          <w:p w:rsidR="00400449" w:rsidRPr="00EE1BC7" w:rsidRDefault="00D26D69" w:rsidP="00D26D69">
            <w:pPr>
              <w:spacing w:before="120" w:after="120"/>
              <w:jc w:val="left"/>
            </w:pPr>
            <w:r w:rsidRPr="00EE1BC7">
              <w:rPr>
                <w:lang w:val="en-GB"/>
              </w:rPr>
              <w:t>5 Doppelstunden</w:t>
            </w:r>
          </w:p>
        </w:tc>
      </w:tr>
      <w:tr w:rsidR="00400449" w:rsidRPr="00045A87" w:rsidTr="00D26D69">
        <w:tc>
          <w:tcPr>
            <w:tcW w:w="2411" w:type="dxa"/>
            <w:tcBorders>
              <w:top w:val="single" w:sz="4" w:space="0" w:color="auto"/>
              <w:bottom w:val="single" w:sz="4" w:space="0" w:color="auto"/>
              <w:right w:val="single" w:sz="12" w:space="0" w:color="auto"/>
            </w:tcBorders>
            <w:shd w:val="clear" w:color="auto" w:fill="C0C0C0"/>
          </w:tcPr>
          <w:p w:rsidR="00400449" w:rsidRDefault="00AA1BB7" w:rsidP="00310BA4">
            <w:pPr>
              <w:spacing w:before="120" w:after="120"/>
              <w:jc w:val="left"/>
              <w:rPr>
                <w:b/>
                <w:lang w:val="en-GB"/>
              </w:rPr>
            </w:pPr>
            <w:r>
              <w:rPr>
                <w:b/>
                <w:lang w:val="en-GB"/>
              </w:rPr>
              <w:t>Materialien / Quellen</w:t>
            </w:r>
            <w:r w:rsidR="00400449">
              <w:rPr>
                <w:b/>
                <w:lang w:val="en-GB"/>
              </w:rPr>
              <w:t>:</w:t>
            </w:r>
          </w:p>
        </w:tc>
        <w:tc>
          <w:tcPr>
            <w:tcW w:w="7053" w:type="dxa"/>
            <w:tcBorders>
              <w:left w:val="single" w:sz="12" w:space="0" w:color="auto"/>
            </w:tcBorders>
          </w:tcPr>
          <w:p w:rsidR="00770CE7" w:rsidRDefault="00ED6EA2" w:rsidP="00045A87">
            <w:pPr>
              <w:spacing w:before="120" w:after="120"/>
              <w:jc w:val="left"/>
              <w:rPr>
                <w:rFonts w:eastAsia="Calibri" w:cs="Arial"/>
                <w:szCs w:val="24"/>
              </w:rPr>
            </w:pPr>
            <w:r w:rsidRPr="007D67F2">
              <w:rPr>
                <w:rFonts w:eastAsia="Calibri" w:cs="Arial"/>
                <w:szCs w:val="24"/>
                <w:u w:val="single"/>
              </w:rPr>
              <w:t>Videoclip</w:t>
            </w:r>
            <w:r w:rsidRPr="00ED6EA2">
              <w:rPr>
                <w:rFonts w:eastAsia="Calibri" w:cs="Arial"/>
                <w:szCs w:val="24"/>
                <w:u w:val="single"/>
                <w:lang w:val="en-GB"/>
              </w:rPr>
              <w:t>:</w:t>
            </w:r>
            <w:r w:rsidRPr="00ED6EA2">
              <w:rPr>
                <w:rFonts w:eastAsia="Calibri" w:cs="Arial"/>
                <w:szCs w:val="24"/>
                <w:lang w:val="en-GB"/>
              </w:rPr>
              <w:t xml:space="preserve"> </w:t>
            </w:r>
            <w:r w:rsidRPr="00ED6EA2">
              <w:rPr>
                <w:rFonts w:eastAsia="Calibri" w:cs="Arial"/>
                <w:i/>
                <w:szCs w:val="24"/>
                <w:lang w:val="en-GB"/>
              </w:rPr>
              <w:t xml:space="preserve">Lost in </w:t>
            </w:r>
            <w:smartTag w:uri="urn:schemas-microsoft-com:office:smarttags" w:element="place">
              <w:smartTag w:uri="urn:schemas-microsoft-com:office:smarttags" w:element="City">
                <w:r w:rsidRPr="00ED6EA2">
                  <w:rPr>
                    <w:rFonts w:eastAsia="Calibri" w:cs="Arial"/>
                    <w:i/>
                    <w:szCs w:val="24"/>
                    <w:lang w:val="en-GB"/>
                  </w:rPr>
                  <w:t>London</w:t>
                </w:r>
              </w:smartTag>
            </w:smartTag>
            <w:r w:rsidRPr="00ED6EA2">
              <w:rPr>
                <w:rFonts w:eastAsia="Calibri" w:cs="Arial"/>
                <w:szCs w:val="24"/>
                <w:lang w:val="en-GB"/>
              </w:rPr>
              <w:t xml:space="preserve"> </w:t>
            </w:r>
            <w:hyperlink r:id="rId7" w:history="1">
              <w:r w:rsidR="009474C4" w:rsidRPr="00EE1BC7">
                <w:rPr>
                  <w:rStyle w:val="Hyperlink"/>
                  <w:rFonts w:eastAsia="Calibri" w:cs="Arial"/>
                  <w:color w:val="auto"/>
                  <w:szCs w:val="24"/>
                  <w:u w:val="none"/>
                  <w:lang w:val="en-GB"/>
                </w:rPr>
                <w:t>http://vimeo.com/11336836</w:t>
              </w:r>
            </w:hyperlink>
          </w:p>
          <w:p w:rsidR="00C84D88" w:rsidRPr="00C84D88" w:rsidRDefault="00C84D88" w:rsidP="00045A87">
            <w:pPr>
              <w:spacing w:before="120" w:after="120"/>
              <w:jc w:val="left"/>
              <w:rPr>
                <w:rFonts w:eastAsia="Calibri" w:cs="Arial"/>
                <w:szCs w:val="24"/>
                <w:u w:val="single"/>
                <w:lang w:val="en-GB"/>
              </w:rPr>
            </w:pPr>
            <w:r w:rsidRPr="00C84D88">
              <w:rPr>
                <w:rFonts w:eastAsia="Calibri" w:cs="Arial"/>
                <w:szCs w:val="24"/>
                <w:u w:val="single"/>
              </w:rPr>
              <w:t>Teilaufgabe 4.3:</w:t>
            </w:r>
          </w:p>
          <w:p w:rsidR="00045A87" w:rsidRPr="00EE1BC7" w:rsidRDefault="00045A87" w:rsidP="00045A87">
            <w:pPr>
              <w:spacing w:before="120" w:after="120"/>
              <w:jc w:val="left"/>
              <w:rPr>
                <w:rFonts w:eastAsia="Calibri" w:cs="Arial"/>
                <w:szCs w:val="24"/>
                <w:lang w:val="sv-SE"/>
              </w:rPr>
            </w:pPr>
            <w:r w:rsidRPr="00EE1BC7">
              <w:rPr>
                <w:rFonts w:eastAsia="Calibri" w:cs="Arial"/>
                <w:szCs w:val="24"/>
                <w:lang w:val="sv-SE"/>
              </w:rPr>
              <w:t>http://www.piccadillyhotel.net/location</w:t>
            </w:r>
          </w:p>
          <w:p w:rsidR="00045A87" w:rsidRPr="00EE1BC7" w:rsidRDefault="00045A87" w:rsidP="00045A87">
            <w:pPr>
              <w:spacing w:before="120" w:after="120"/>
              <w:jc w:val="left"/>
              <w:rPr>
                <w:rFonts w:eastAsia="Calibri" w:cs="Arial"/>
                <w:szCs w:val="24"/>
                <w:lang w:val="sv-SE"/>
              </w:rPr>
            </w:pPr>
            <w:r w:rsidRPr="00EE1BC7">
              <w:rPr>
                <w:rFonts w:eastAsia="Calibri" w:cs="Arial"/>
                <w:szCs w:val="24"/>
                <w:lang w:val="sv-SE"/>
              </w:rPr>
              <w:t>http://www.tfl.gov.uk/assets/downloads/standard-tube-map.pdf</w:t>
            </w:r>
          </w:p>
          <w:p w:rsidR="009474C4" w:rsidRPr="00C84D88" w:rsidRDefault="00045A87" w:rsidP="00310BA4">
            <w:pPr>
              <w:spacing w:before="120" w:after="120"/>
              <w:jc w:val="left"/>
              <w:rPr>
                <w:rFonts w:eastAsia="Calibri" w:cs="Arial"/>
                <w:szCs w:val="24"/>
                <w:lang w:val="sv-SE"/>
              </w:rPr>
            </w:pPr>
            <w:r w:rsidRPr="00EE1BC7">
              <w:rPr>
                <w:rFonts w:eastAsia="Calibri" w:cs="Arial"/>
                <w:szCs w:val="24"/>
                <w:lang w:val="sv-SE"/>
              </w:rPr>
              <w:t>http://www.officiallondontheatre.co.uk/servlet/file/store8/item115656/version1/Access%20London%20Theatre%20summer%202011.pdf</w:t>
            </w:r>
          </w:p>
        </w:tc>
      </w:tr>
      <w:tr w:rsidR="00400449" w:rsidRPr="009474C4" w:rsidTr="00D26D69">
        <w:tc>
          <w:tcPr>
            <w:tcW w:w="2411" w:type="dxa"/>
            <w:tcBorders>
              <w:top w:val="single" w:sz="4" w:space="0" w:color="auto"/>
              <w:bottom w:val="single" w:sz="12" w:space="0" w:color="auto"/>
              <w:right w:val="single" w:sz="12" w:space="0" w:color="auto"/>
            </w:tcBorders>
            <w:shd w:val="clear" w:color="auto" w:fill="C0C0C0"/>
          </w:tcPr>
          <w:p w:rsidR="00400449" w:rsidRDefault="00400449" w:rsidP="00310BA4">
            <w:pPr>
              <w:spacing w:before="120" w:after="120"/>
              <w:jc w:val="left"/>
              <w:rPr>
                <w:b/>
                <w:lang w:val="en-GB"/>
              </w:rPr>
            </w:pPr>
            <w:r>
              <w:rPr>
                <w:b/>
                <w:lang w:val="en-GB"/>
              </w:rPr>
              <w:t>Benötigte Materialien:</w:t>
            </w:r>
          </w:p>
        </w:tc>
        <w:tc>
          <w:tcPr>
            <w:tcW w:w="7053" w:type="dxa"/>
            <w:tcBorders>
              <w:left w:val="single" w:sz="12" w:space="0" w:color="auto"/>
            </w:tcBorders>
          </w:tcPr>
          <w:p w:rsidR="00400449" w:rsidRPr="00EE1BC7" w:rsidRDefault="00FF2183" w:rsidP="00FF2183">
            <w:pPr>
              <w:spacing w:before="120" w:after="120"/>
              <w:jc w:val="left"/>
            </w:pPr>
            <w:r>
              <w:t>Arbeitsblätter/</w:t>
            </w:r>
            <w:proofErr w:type="spellStart"/>
            <w:r w:rsidR="009474C4" w:rsidRPr="00EE1BC7">
              <w:t>role</w:t>
            </w:r>
            <w:proofErr w:type="spellEnd"/>
            <w:r w:rsidR="009474C4" w:rsidRPr="00EE1BC7">
              <w:t xml:space="preserve"> </w:t>
            </w:r>
            <w:proofErr w:type="spellStart"/>
            <w:r w:rsidR="009474C4" w:rsidRPr="00EE1BC7">
              <w:t>cards</w:t>
            </w:r>
            <w:proofErr w:type="spellEnd"/>
            <w:r w:rsidR="009474C4" w:rsidRPr="00EE1BC7">
              <w:t xml:space="preserve"> gem</w:t>
            </w:r>
            <w:r>
              <w:t xml:space="preserve">äß Aufgabe, Portfolios, Land-/ </w:t>
            </w:r>
            <w:r w:rsidR="009474C4" w:rsidRPr="00EE1BC7">
              <w:t xml:space="preserve">Straßenkarte </w:t>
            </w:r>
            <w:r w:rsidR="00045A87" w:rsidRPr="00EE1BC7">
              <w:t>London</w:t>
            </w:r>
            <w:r w:rsidR="009474C4" w:rsidRPr="00EE1BC7">
              <w:t xml:space="preserve"> </w:t>
            </w:r>
          </w:p>
        </w:tc>
      </w:tr>
    </w:tbl>
    <w:p w:rsidR="00400449" w:rsidRPr="009474C4" w:rsidRDefault="00400449" w:rsidP="00400449">
      <w:pPr>
        <w:jc w:val="left"/>
        <w:rPr>
          <w:b/>
        </w:rPr>
      </w:pPr>
    </w:p>
    <w:p w:rsidR="00FD6F29" w:rsidRDefault="00400449">
      <w:pPr>
        <w:rPr>
          <w:b/>
        </w:rPr>
      </w:pPr>
      <w:r>
        <w:br w:type="page"/>
      </w:r>
      <w:r w:rsidRPr="00400449">
        <w:rPr>
          <w:b/>
        </w:rPr>
        <w:lastRenderedPageBreak/>
        <w:t>Hinweise zur Aufgabe</w:t>
      </w:r>
    </w:p>
    <w:p w:rsidR="00400449" w:rsidRDefault="00400449"/>
    <w:tbl>
      <w:tblPr>
        <w:tblW w:w="9288" w:type="dxa"/>
        <w:tblLayout w:type="fixed"/>
        <w:tblLook w:val="01E0" w:firstRow="1" w:lastRow="1" w:firstColumn="1" w:lastColumn="1" w:noHBand="0" w:noVBand="0"/>
      </w:tblPr>
      <w:tblGrid>
        <w:gridCol w:w="2217"/>
        <w:gridCol w:w="7071"/>
      </w:tblGrid>
      <w:tr w:rsidR="00400449" w:rsidTr="00ED6EA2">
        <w:tc>
          <w:tcPr>
            <w:tcW w:w="2217" w:type="dxa"/>
            <w:shd w:val="clear" w:color="auto" w:fill="C0C0C0"/>
          </w:tcPr>
          <w:p w:rsidR="00400449" w:rsidRPr="0077238C" w:rsidRDefault="00400449">
            <w:pPr>
              <w:rPr>
                <w:b/>
              </w:rPr>
            </w:pPr>
            <w:r w:rsidRPr="0077238C">
              <w:rPr>
                <w:b/>
              </w:rPr>
              <w:t>Thema</w:t>
            </w:r>
          </w:p>
        </w:tc>
        <w:tc>
          <w:tcPr>
            <w:tcW w:w="7071" w:type="dxa"/>
            <w:shd w:val="clear" w:color="auto" w:fill="auto"/>
          </w:tcPr>
          <w:p w:rsidR="00FF2183" w:rsidRDefault="00FF2183" w:rsidP="00FF2183"/>
          <w:p w:rsidR="008C1A51" w:rsidRPr="008C1A51" w:rsidRDefault="008C1A51" w:rsidP="00FF2183">
            <w:pPr>
              <w:ind w:left="51"/>
              <w:rPr>
                <w:b/>
                <w:i/>
              </w:rPr>
            </w:pPr>
            <w:r w:rsidRPr="008C1A51">
              <w:t>Als zentrales Thema der ersten Unterrichtseinheit im dritten Semester wurde im Hausinternen Curriculum des Grundtvig-Kollegs „Tourismus und (Reise-)Möglichkeiten in englisch</w:t>
            </w:r>
            <w:r w:rsidR="00FF2183">
              <w:t>-</w:t>
            </w:r>
            <w:r w:rsidRPr="008C1A51">
              <w:t>sprachigen Länder</w:t>
            </w:r>
            <w:r w:rsidR="00FF2183">
              <w:t>n</w:t>
            </w:r>
            <w:r w:rsidRPr="008C1A51">
              <w:t xml:space="preserve"> kennenlernen (</w:t>
            </w:r>
            <w:r w:rsidRPr="00D95FE2">
              <w:rPr>
                <w:i/>
              </w:rPr>
              <w:t>USA, GB, Canada, Australia, New Zealand</w:t>
            </w:r>
            <w:r w:rsidRPr="008C1A51">
              <w:t xml:space="preserve">)“ festgelegt. Die vorliegende </w:t>
            </w:r>
            <w:r w:rsidR="006A2C6D">
              <w:t xml:space="preserve">Einstiegssequenz </w:t>
            </w:r>
            <w:r w:rsidRPr="00D95FE2">
              <w:rPr>
                <w:i/>
              </w:rPr>
              <w:t>Lost in London</w:t>
            </w:r>
            <w:r>
              <w:t xml:space="preserve"> </w:t>
            </w:r>
            <w:r w:rsidRPr="008C1A51">
              <w:t xml:space="preserve">legt den Fokus auf die Großstadt London, um einen </w:t>
            </w:r>
            <w:r w:rsidR="007D45F2">
              <w:t>begrenzten</w:t>
            </w:r>
            <w:r w:rsidR="00780B95">
              <w:t xml:space="preserve">, jedoch </w:t>
            </w:r>
            <w:r w:rsidRPr="008C1A51">
              <w:t>für die Studierende</w:t>
            </w:r>
            <w:r w:rsidR="00FF2183">
              <w:t>n</w:t>
            </w:r>
            <w:r w:rsidRPr="008C1A51">
              <w:t xml:space="preserve"> möglichst motivierenden </w:t>
            </w:r>
            <w:r>
              <w:t>Zugang</w:t>
            </w:r>
            <w:r w:rsidRPr="008C1A51">
              <w:t xml:space="preserve"> (Städtereisen) in die Thematik zu </w:t>
            </w:r>
            <w:r>
              <w:t>gestalten</w:t>
            </w:r>
            <w:r w:rsidRPr="008C1A51">
              <w:t>.</w:t>
            </w:r>
            <w:r w:rsidRPr="00CF2722">
              <w:rPr>
                <w:i/>
                <w:color w:val="F79646"/>
              </w:rPr>
              <w:t xml:space="preserve"> </w:t>
            </w:r>
          </w:p>
          <w:p w:rsidR="00400449" w:rsidRPr="0077238C" w:rsidRDefault="00400449" w:rsidP="00780B95">
            <w:pPr>
              <w:ind w:left="170"/>
              <w:rPr>
                <w:i/>
              </w:rPr>
            </w:pPr>
          </w:p>
          <w:p w:rsidR="00ED6EA2" w:rsidRDefault="00ED6EA2" w:rsidP="00FF2183">
            <w:pPr>
              <w:ind w:left="51"/>
            </w:pPr>
            <w:r>
              <w:t xml:space="preserve">Der Schwerpunkt des Aufgabenbeispiels liegt </w:t>
            </w:r>
            <w:r w:rsidR="00C05051">
              <w:t>im gezielten Kompetenzaufbau der Teilkompetenz</w:t>
            </w:r>
            <w:r>
              <w:t xml:space="preserve"> </w:t>
            </w:r>
            <w:r w:rsidR="00C05051">
              <w:t>„Sprechen</w:t>
            </w:r>
            <w:r w:rsidR="00FF2183">
              <w:t>: A</w:t>
            </w:r>
            <w:r>
              <w:t>n Gesprächen teilnehmen</w:t>
            </w:r>
            <w:r w:rsidR="00C05051">
              <w:t>“</w:t>
            </w:r>
            <w:r>
              <w:t xml:space="preserve">. Dabei wird in Anlehnung an die im Kernlehrplan der Abendrealschule ausgewiesenen </w:t>
            </w:r>
            <w:proofErr w:type="spellStart"/>
            <w:r>
              <w:t>Interkul</w:t>
            </w:r>
            <w:r w:rsidR="00FF2183">
              <w:t>-</w:t>
            </w:r>
            <w:r>
              <w:t>turellen</w:t>
            </w:r>
            <w:proofErr w:type="spellEnd"/>
            <w:r>
              <w:t xml:space="preserve"> Kompetenz</w:t>
            </w:r>
            <w:r w:rsidR="00FF2183">
              <w:t>en</w:t>
            </w:r>
            <w:r>
              <w:t xml:space="preserve"> ein besonderer Fokus auf das höfliche Hand</w:t>
            </w:r>
            <w:r w:rsidR="00C05051">
              <w:t>eln in Begegnungssituationen geleg</w:t>
            </w:r>
            <w:r>
              <w:t>t. Dies bedingt gleichsam eine Förderung der Studierenden im Bereich der Sprachbewusstheit.</w:t>
            </w:r>
          </w:p>
          <w:p w:rsidR="00780B95" w:rsidRPr="0077238C" w:rsidRDefault="00780B95" w:rsidP="00780B95">
            <w:pPr>
              <w:ind w:left="170"/>
              <w:rPr>
                <w:i/>
              </w:rPr>
            </w:pPr>
          </w:p>
        </w:tc>
      </w:tr>
      <w:tr w:rsidR="00F11F16" w:rsidTr="00ED6EA2">
        <w:tc>
          <w:tcPr>
            <w:tcW w:w="2217" w:type="dxa"/>
            <w:shd w:val="clear" w:color="auto" w:fill="C0C0C0"/>
          </w:tcPr>
          <w:p w:rsidR="00F11F16" w:rsidRPr="0077238C" w:rsidRDefault="00F11F16" w:rsidP="00310BA4">
            <w:pPr>
              <w:rPr>
                <w:b/>
              </w:rPr>
            </w:pPr>
            <w:r w:rsidRPr="0077238C">
              <w:rPr>
                <w:b/>
              </w:rPr>
              <w:t>Voraussetzungen</w:t>
            </w:r>
          </w:p>
        </w:tc>
        <w:tc>
          <w:tcPr>
            <w:tcW w:w="7071" w:type="dxa"/>
            <w:shd w:val="clear" w:color="auto" w:fill="auto"/>
          </w:tcPr>
          <w:p w:rsidR="00FF6382" w:rsidRDefault="00FF6382" w:rsidP="00FF6382">
            <w:pPr>
              <w:ind w:left="170"/>
            </w:pPr>
          </w:p>
          <w:p w:rsidR="00FF6382" w:rsidRDefault="00FF6382" w:rsidP="00FF2183">
            <w:pPr>
              <w:ind w:left="51"/>
            </w:pPr>
            <w:r>
              <w:t xml:space="preserve">Die Behandlung der Beispielaufgabe setzt voraus, dass die Studierenden mit grundlegenden methodischen Formen des selbstständigen und kooperativen Arbeitens vertraut sind </w:t>
            </w:r>
            <w:r w:rsidRPr="00B1744F">
              <w:t xml:space="preserve"> (Mind-mapping und die Arbeit mit dem Tandembogen</w:t>
            </w:r>
            <w:r w:rsidR="00FF2183">
              <w:t>/</w:t>
            </w:r>
            <w:proofErr w:type="spellStart"/>
            <w:r w:rsidRPr="007D45F2">
              <w:rPr>
                <w:i/>
              </w:rPr>
              <w:t>role</w:t>
            </w:r>
            <w:proofErr w:type="spellEnd"/>
            <w:r w:rsidRPr="007D45F2">
              <w:rPr>
                <w:i/>
              </w:rPr>
              <w:t xml:space="preserve"> </w:t>
            </w:r>
            <w:proofErr w:type="spellStart"/>
            <w:r w:rsidRPr="007D45F2">
              <w:rPr>
                <w:i/>
              </w:rPr>
              <w:t>cards</w:t>
            </w:r>
            <w:proofErr w:type="spellEnd"/>
            <w:r w:rsidRPr="00B1744F">
              <w:t xml:space="preserve">). </w:t>
            </w:r>
          </w:p>
          <w:p w:rsidR="00FF6382" w:rsidRDefault="00FF6382" w:rsidP="00FF2183">
            <w:pPr>
              <w:ind w:left="51"/>
            </w:pPr>
            <w:r w:rsidRPr="00B1744F">
              <w:t>Auf der Ebene der rezeptiven kommunikativen Kompetenzen</w:t>
            </w:r>
            <w:r>
              <w:t xml:space="preserve"> können sie </w:t>
            </w:r>
            <w:proofErr w:type="spellStart"/>
            <w:r>
              <w:t>Hörstile</w:t>
            </w:r>
            <w:proofErr w:type="spellEnd"/>
            <w:r>
              <w:t xml:space="preserve"> (v.</w:t>
            </w:r>
            <w:r w:rsidR="00FF2183">
              <w:t> </w:t>
            </w:r>
            <w:r>
              <w:t>a. globales Hörverstehen) funkti</w:t>
            </w:r>
            <w:r w:rsidR="00D95FE2">
              <w:t>onal anwenden, um die Gesamt</w:t>
            </w:r>
            <w:r>
              <w:t>aussage eines Hördokuments herauszufiltern.</w:t>
            </w:r>
            <w:r w:rsidRPr="00B1744F">
              <w:t xml:space="preserve"> </w:t>
            </w:r>
          </w:p>
          <w:p w:rsidR="00FF6382" w:rsidRDefault="00FF6382" w:rsidP="00FF2183">
            <w:pPr>
              <w:ind w:left="51"/>
            </w:pPr>
            <w:r>
              <w:t>Es besteht weiterhin die Möglichkeit, dass die Studierende</w:t>
            </w:r>
            <w:r w:rsidR="00D95FE2">
              <w:t>n Zugang zu einem internetfähig</w:t>
            </w:r>
            <w:r>
              <w:t>en PC haben.</w:t>
            </w:r>
          </w:p>
          <w:p w:rsidR="00F11F16" w:rsidRDefault="00FF6382" w:rsidP="00FF2183">
            <w:pPr>
              <w:ind w:left="51"/>
            </w:pPr>
            <w:r>
              <w:t xml:space="preserve">Aus dem Erdkundeunterricht ist ihnen </w:t>
            </w:r>
            <w:r w:rsidR="00C05051">
              <w:t xml:space="preserve">darüber hinaus </w:t>
            </w:r>
            <w:r>
              <w:t>das Lesen eines Stadtplans vertraut.</w:t>
            </w:r>
          </w:p>
          <w:p w:rsidR="00FF6382" w:rsidRPr="00FF6382" w:rsidRDefault="00FF6382" w:rsidP="00FF6382">
            <w:pPr>
              <w:ind w:left="170"/>
            </w:pPr>
          </w:p>
        </w:tc>
      </w:tr>
      <w:tr w:rsidR="00F11F16" w:rsidTr="00ED6EA2">
        <w:tc>
          <w:tcPr>
            <w:tcW w:w="2217" w:type="dxa"/>
            <w:shd w:val="clear" w:color="auto" w:fill="C0C0C0"/>
          </w:tcPr>
          <w:p w:rsidR="00F11F16" w:rsidRPr="0077238C" w:rsidRDefault="00FF2183" w:rsidP="00310BA4">
            <w:pPr>
              <w:rPr>
                <w:b/>
              </w:rPr>
            </w:pPr>
            <w:r>
              <w:rPr>
                <w:b/>
              </w:rPr>
              <w:t>Fachdidaktische Hinweise</w:t>
            </w:r>
          </w:p>
        </w:tc>
        <w:tc>
          <w:tcPr>
            <w:tcW w:w="7071" w:type="dxa"/>
            <w:shd w:val="clear" w:color="auto" w:fill="auto"/>
          </w:tcPr>
          <w:p w:rsidR="00495027" w:rsidRDefault="00495027" w:rsidP="00770CE7">
            <w:pPr>
              <w:ind w:left="170"/>
              <w:rPr>
                <w:i/>
              </w:rPr>
            </w:pPr>
          </w:p>
          <w:p w:rsidR="002C1FA6" w:rsidRDefault="00FF6382" w:rsidP="00FF2183">
            <w:pPr>
              <w:ind w:left="51"/>
            </w:pPr>
            <w:r>
              <w:t xml:space="preserve">Die erste Teilaufgabe dient </w:t>
            </w:r>
            <w:r w:rsidR="00352B5E">
              <w:t>der Trans</w:t>
            </w:r>
            <w:r w:rsidR="002C1FA6">
              <w:t>parenz des Unterrichtsvorhabens. Durch die erläuternden Informationen erhalten die Studieren</w:t>
            </w:r>
            <w:r w:rsidR="00D95FE2">
              <w:t>d</w:t>
            </w:r>
            <w:r w:rsidR="002C1FA6">
              <w:t>en einen Überblick über die Ziele der kommenden Unterrichtsstunden. Die Tabelle führt sowohl sprachliche als auch außersprachliche Lernziele auf. Inwieweit sie diese erreicht haben, können die Lerner im Anschluss</w:t>
            </w:r>
            <w:r w:rsidR="00C05051">
              <w:t xml:space="preserve"> an die Unterrichtssequenz</w:t>
            </w:r>
            <w:r w:rsidR="00352B5E">
              <w:t xml:space="preserve"> reflektieren</w:t>
            </w:r>
            <w:r w:rsidR="002C1FA6">
              <w:t>.</w:t>
            </w:r>
          </w:p>
          <w:p w:rsidR="002C1FA6" w:rsidRDefault="002C1FA6" w:rsidP="00FF2183">
            <w:pPr>
              <w:ind w:left="51"/>
              <w:rPr>
                <w:rFonts w:cs="Arial"/>
                <w:szCs w:val="24"/>
              </w:rPr>
            </w:pPr>
            <w:r>
              <w:t>In Teilaufgabe 2 steht zunächst die Reaktivierung sprachlicher Mittel im Vordergrund.</w:t>
            </w:r>
            <w:r w:rsidRPr="00CF2722">
              <w:rPr>
                <w:rFonts w:cs="Arial"/>
                <w:szCs w:val="24"/>
              </w:rPr>
              <w:t xml:space="preserve"> Die abgebil</w:t>
            </w:r>
            <w:r w:rsidR="00C05051">
              <w:rPr>
                <w:rFonts w:cs="Arial"/>
                <w:szCs w:val="24"/>
              </w:rPr>
              <w:t xml:space="preserve">dete Mindmap mit den Bereichen </w:t>
            </w:r>
            <w:r w:rsidRPr="00C05051">
              <w:rPr>
                <w:rFonts w:cs="Arial"/>
                <w:i/>
                <w:szCs w:val="24"/>
              </w:rPr>
              <w:t>transportation</w:t>
            </w:r>
            <w:r w:rsidR="00C05051">
              <w:rPr>
                <w:rFonts w:cs="Arial"/>
                <w:szCs w:val="24"/>
              </w:rPr>
              <w:t xml:space="preserve"> und </w:t>
            </w:r>
            <w:r w:rsidR="00C05051" w:rsidRPr="00C05051">
              <w:rPr>
                <w:rFonts w:cs="Arial"/>
                <w:i/>
                <w:szCs w:val="24"/>
              </w:rPr>
              <w:t>touristic</w:t>
            </w:r>
            <w:r w:rsidR="00C05051">
              <w:rPr>
                <w:rFonts w:cs="Arial"/>
                <w:szCs w:val="24"/>
              </w:rPr>
              <w:t xml:space="preserve"> </w:t>
            </w:r>
            <w:r w:rsidR="00C05051" w:rsidRPr="00C05051">
              <w:rPr>
                <w:rFonts w:cs="Arial"/>
                <w:i/>
                <w:szCs w:val="24"/>
              </w:rPr>
              <w:t>sights</w:t>
            </w:r>
            <w:r w:rsidRPr="00CF2722">
              <w:rPr>
                <w:rFonts w:cs="Arial"/>
                <w:szCs w:val="24"/>
              </w:rPr>
              <w:t xml:space="preserve"> dient als Beispiel. Die freigelassenen Felder sollten im Vorfeld zusammen mit den Studierenden mit weiteren Oberkategorien </w:t>
            </w:r>
            <w:r>
              <w:rPr>
                <w:rFonts w:cs="Arial"/>
                <w:szCs w:val="24"/>
              </w:rPr>
              <w:t>gefüllt werden und nach dem Sehen des Clips ergänzt werden.</w:t>
            </w:r>
          </w:p>
          <w:p w:rsidR="00352B5E" w:rsidRDefault="00352B5E" w:rsidP="00770CE7">
            <w:pPr>
              <w:ind w:left="170"/>
              <w:rPr>
                <w:rFonts w:cs="Arial"/>
                <w:szCs w:val="24"/>
              </w:rPr>
            </w:pPr>
          </w:p>
          <w:p w:rsidR="002C1FA6" w:rsidRDefault="002C1FA6" w:rsidP="00FF2183">
            <w:pPr>
              <w:ind w:left="51"/>
              <w:rPr>
                <w:rFonts w:cs="Arial"/>
                <w:szCs w:val="24"/>
              </w:rPr>
            </w:pPr>
            <w:r w:rsidRPr="00CF2722">
              <w:rPr>
                <w:rFonts w:cs="Arial"/>
                <w:szCs w:val="24"/>
              </w:rPr>
              <w:t>Nach dem ersten Hören des Songs in Verbindung mit den visuellen Eindrücken des Videos soll das zweite Hören nun in Verbindung mit dem gedruckten Text erfolgen. Das Globalverstehen soll hier im Unterrichtsgespräch gesichert werden.</w:t>
            </w:r>
          </w:p>
          <w:p w:rsidR="00352B5E" w:rsidRPr="00352B5E" w:rsidRDefault="00352B5E" w:rsidP="00FF2183">
            <w:pPr>
              <w:ind w:left="51"/>
            </w:pPr>
            <w:r>
              <w:rPr>
                <w:rFonts w:cs="Arial"/>
                <w:szCs w:val="24"/>
              </w:rPr>
              <w:t xml:space="preserve">Die Tabelle zu Teilaufgabe 3 dient der Strukturierung und Bewusstmachung sprachlicher Mittel und kommunikativer Strategien. Ausgehend von dem </w:t>
            </w:r>
            <w:r w:rsidRPr="00352B5E">
              <w:rPr>
                <w:rFonts w:cs="Arial"/>
                <w:i/>
                <w:szCs w:val="24"/>
              </w:rPr>
              <w:t>Song</w:t>
            </w:r>
            <w:r>
              <w:rPr>
                <w:rFonts w:cs="Arial"/>
                <w:szCs w:val="24"/>
              </w:rPr>
              <w:t xml:space="preserve"> werden die Register formelle und informelle Sprachverwendung im Englischen thematisiert</w:t>
            </w:r>
            <w:r w:rsidR="006A2CCA">
              <w:rPr>
                <w:rFonts w:cs="Arial"/>
                <w:szCs w:val="24"/>
              </w:rPr>
              <w:t xml:space="preserve"> (vgl. KLP ARS IKK, Sprachbewussthei</w:t>
            </w:r>
            <w:r w:rsidR="00C05051">
              <w:rPr>
                <w:rFonts w:cs="Arial"/>
                <w:szCs w:val="24"/>
              </w:rPr>
              <w:t>t</w:t>
            </w:r>
            <w:r w:rsidR="006A2CCA">
              <w:rPr>
                <w:rFonts w:cs="Arial"/>
                <w:szCs w:val="24"/>
              </w:rPr>
              <w:t>)</w:t>
            </w:r>
            <w:r w:rsidR="00FF2183">
              <w:rPr>
                <w:rFonts w:cs="Arial"/>
                <w:szCs w:val="24"/>
              </w:rPr>
              <w:t>. Die der Tabelle zu Grunde</w:t>
            </w:r>
            <w:r>
              <w:rPr>
                <w:rFonts w:cs="Arial"/>
                <w:szCs w:val="24"/>
              </w:rPr>
              <w:t xml:space="preserve"> liegende Systematik ermöglicht </w:t>
            </w:r>
            <w:r w:rsidR="006A2CCA">
              <w:rPr>
                <w:rFonts w:cs="Arial"/>
                <w:szCs w:val="24"/>
              </w:rPr>
              <w:t xml:space="preserve">darüber hinaus </w:t>
            </w:r>
            <w:r>
              <w:rPr>
                <w:rFonts w:cs="Arial"/>
                <w:szCs w:val="24"/>
              </w:rPr>
              <w:t>eine Ausweitung</w:t>
            </w:r>
            <w:r w:rsidR="006A2CCA">
              <w:rPr>
                <w:rFonts w:cs="Arial"/>
                <w:szCs w:val="24"/>
              </w:rPr>
              <w:t xml:space="preserve"> der sprachlichen Strukturen </w:t>
            </w:r>
            <w:r>
              <w:rPr>
                <w:rFonts w:cs="Arial"/>
                <w:szCs w:val="24"/>
              </w:rPr>
              <w:t>auf h</w:t>
            </w:r>
            <w:r w:rsidR="006A2CCA">
              <w:rPr>
                <w:rFonts w:cs="Arial"/>
                <w:szCs w:val="24"/>
              </w:rPr>
              <w:t>äufig vorkommende,</w:t>
            </w:r>
            <w:r>
              <w:rPr>
                <w:rFonts w:cs="Arial"/>
                <w:szCs w:val="24"/>
              </w:rPr>
              <w:t xml:space="preserve"> alltägliche Sprachverwendungssituationen, die in den folgenden Teilaufgaben </w:t>
            </w:r>
            <w:r w:rsidR="006A2CCA">
              <w:rPr>
                <w:rFonts w:cs="Arial"/>
                <w:szCs w:val="24"/>
              </w:rPr>
              <w:t>in</w:t>
            </w:r>
            <w:r>
              <w:rPr>
                <w:rFonts w:cs="Arial"/>
                <w:szCs w:val="24"/>
              </w:rPr>
              <w:t xml:space="preserve"> konkreten Anwendungs</w:t>
            </w:r>
            <w:r w:rsidR="00FF2183">
              <w:rPr>
                <w:rFonts w:cs="Arial"/>
                <w:szCs w:val="24"/>
              </w:rPr>
              <w:t>-</w:t>
            </w:r>
            <w:r>
              <w:rPr>
                <w:rFonts w:cs="Arial"/>
                <w:szCs w:val="24"/>
              </w:rPr>
              <w:t>bezügen geübt und vertieft werden.</w:t>
            </w:r>
          </w:p>
          <w:p w:rsidR="006A2CCA" w:rsidRDefault="006A2CCA" w:rsidP="00FF2183">
            <w:pPr>
              <w:ind w:left="51"/>
              <w:rPr>
                <w:rFonts w:cs="Arial"/>
                <w:szCs w:val="24"/>
              </w:rPr>
            </w:pPr>
            <w:r>
              <w:rPr>
                <w:rFonts w:cs="Arial"/>
                <w:szCs w:val="24"/>
              </w:rPr>
              <w:t>In den folgenden Teilaufgaben üben und erweitern die Studierenden ihre Kompeten</w:t>
            </w:r>
            <w:r w:rsidR="00FF2183">
              <w:rPr>
                <w:rFonts w:cs="Arial"/>
                <w:szCs w:val="24"/>
              </w:rPr>
              <w:t>zen im Bereich des „Sprechens: A</w:t>
            </w:r>
            <w:r>
              <w:rPr>
                <w:rFonts w:cs="Arial"/>
                <w:szCs w:val="24"/>
              </w:rPr>
              <w:t xml:space="preserve">n Gesprächen teilnehmen“ über stärker gelenkte methodische Vorgehensweisen mit Hilfe eines Tandembogens bzw. eines </w:t>
            </w:r>
            <w:r w:rsidRPr="006A2CCA">
              <w:rPr>
                <w:rFonts w:cs="Arial"/>
                <w:i/>
                <w:szCs w:val="24"/>
              </w:rPr>
              <w:t>role play</w:t>
            </w:r>
            <w:r w:rsidRPr="006A2CCA">
              <w:rPr>
                <w:rFonts w:cs="Arial"/>
                <w:szCs w:val="24"/>
              </w:rPr>
              <w:t xml:space="preserve"> </w:t>
            </w:r>
            <w:r>
              <w:rPr>
                <w:rFonts w:cs="Arial"/>
                <w:szCs w:val="24"/>
              </w:rPr>
              <w:t xml:space="preserve">mit entsprechender Vorbereitung (z.B. unterstützt durch </w:t>
            </w:r>
            <w:r w:rsidRPr="006A2CCA">
              <w:rPr>
                <w:rFonts w:cs="Arial"/>
                <w:i/>
                <w:szCs w:val="24"/>
              </w:rPr>
              <w:t>note taking</w:t>
            </w:r>
            <w:r>
              <w:rPr>
                <w:rFonts w:cs="Arial"/>
                <w:szCs w:val="24"/>
              </w:rPr>
              <w:t xml:space="preserve"> etc.), bis hin zum freien Sprechen mit Fokus auf spontanem Agieren in vertrauten Sprachverwendungssituationen.</w:t>
            </w:r>
            <w:r w:rsidR="00AC757C">
              <w:rPr>
                <w:rFonts w:cs="Arial"/>
                <w:szCs w:val="24"/>
              </w:rPr>
              <w:t xml:space="preserve"> Die unübliche </w:t>
            </w:r>
            <w:proofErr w:type="spellStart"/>
            <w:r w:rsidR="00AC757C">
              <w:rPr>
                <w:rFonts w:cs="Arial"/>
                <w:szCs w:val="24"/>
              </w:rPr>
              <w:t>Verschrift</w:t>
            </w:r>
            <w:r w:rsidR="00FF2183">
              <w:rPr>
                <w:rFonts w:cs="Arial"/>
                <w:szCs w:val="24"/>
              </w:rPr>
              <w:t>-</w:t>
            </w:r>
            <w:r w:rsidR="00AC757C">
              <w:rPr>
                <w:rFonts w:cs="Arial"/>
                <w:szCs w:val="24"/>
              </w:rPr>
              <w:t>lichung</w:t>
            </w:r>
            <w:proofErr w:type="spellEnd"/>
            <w:r w:rsidR="00AC757C">
              <w:rPr>
                <w:rFonts w:cs="Arial"/>
                <w:szCs w:val="24"/>
              </w:rPr>
              <w:t xml:space="preserve"> </w:t>
            </w:r>
            <w:r w:rsidR="00D95FE2">
              <w:rPr>
                <w:rFonts w:cs="Arial"/>
                <w:szCs w:val="24"/>
              </w:rPr>
              <w:t>eines</w:t>
            </w:r>
            <w:r w:rsidR="00AC757C">
              <w:rPr>
                <w:rFonts w:cs="Arial"/>
                <w:szCs w:val="24"/>
              </w:rPr>
              <w:t xml:space="preserve"> Dialogs in Teilaufgabe 4.2 kann in leistungsschwächeren Kursen bzw. zur Differenzierung zwischen leistungsstärkeren und leistungsschwächeren Studierenden zur Lenkung und Unterstützung des freien Sprechens herangezogen werden.</w:t>
            </w:r>
            <w:r w:rsidR="00D95FE2">
              <w:rPr>
                <w:rFonts w:cs="Arial"/>
                <w:szCs w:val="24"/>
              </w:rPr>
              <w:t xml:space="preserve"> Leistungsstärkere Studierende können mit Teilaufgabe 4.3 fortfahren. </w:t>
            </w:r>
          </w:p>
          <w:p w:rsidR="00F11F16" w:rsidRPr="0077238C" w:rsidRDefault="00F11F16" w:rsidP="006A2CCA">
            <w:pPr>
              <w:ind w:left="170"/>
              <w:rPr>
                <w:i/>
              </w:rPr>
            </w:pPr>
          </w:p>
        </w:tc>
      </w:tr>
      <w:tr w:rsidR="00F11F16" w:rsidTr="00ED6EA2">
        <w:tc>
          <w:tcPr>
            <w:tcW w:w="2217" w:type="dxa"/>
            <w:shd w:val="clear" w:color="auto" w:fill="C0C0C0"/>
          </w:tcPr>
          <w:p w:rsidR="00F11F16" w:rsidRPr="0077238C" w:rsidRDefault="00F11F16" w:rsidP="00310BA4">
            <w:pPr>
              <w:rPr>
                <w:b/>
              </w:rPr>
            </w:pPr>
            <w:r w:rsidRPr="0077238C">
              <w:rPr>
                <w:b/>
              </w:rPr>
              <w:lastRenderedPageBreak/>
              <w:t xml:space="preserve">Alternative </w:t>
            </w:r>
          </w:p>
        </w:tc>
        <w:tc>
          <w:tcPr>
            <w:tcW w:w="7071" w:type="dxa"/>
            <w:shd w:val="clear" w:color="auto" w:fill="auto"/>
          </w:tcPr>
          <w:p w:rsidR="006A2CCA" w:rsidRDefault="006A2CCA" w:rsidP="002C1FA6">
            <w:pPr>
              <w:rPr>
                <w:rFonts w:cs="Arial"/>
                <w:szCs w:val="24"/>
              </w:rPr>
            </w:pPr>
          </w:p>
          <w:p w:rsidR="00F11F16" w:rsidRPr="0077238C" w:rsidRDefault="002C1FA6" w:rsidP="002C1FA6">
            <w:pPr>
              <w:rPr>
                <w:i/>
              </w:rPr>
            </w:pPr>
            <w:r w:rsidRPr="00CF2722">
              <w:rPr>
                <w:rFonts w:cs="Arial"/>
                <w:szCs w:val="24"/>
              </w:rPr>
              <w:t>D</w:t>
            </w:r>
            <w:r w:rsidR="006A2CCA">
              <w:rPr>
                <w:rFonts w:cs="Arial"/>
                <w:szCs w:val="24"/>
              </w:rPr>
              <w:t>ie</w:t>
            </w:r>
            <w:r w:rsidRPr="00CF2722">
              <w:rPr>
                <w:rFonts w:cs="Arial"/>
                <w:szCs w:val="24"/>
              </w:rPr>
              <w:t xml:space="preserve"> mögliche Erweiterung dient der </w:t>
            </w:r>
            <w:r w:rsidR="00D95FE2">
              <w:rPr>
                <w:rFonts w:cs="Arial"/>
                <w:szCs w:val="24"/>
              </w:rPr>
              <w:t xml:space="preserve">Sensibilisierung für die  Kompetenz der </w:t>
            </w:r>
            <w:r w:rsidRPr="00CF2722">
              <w:rPr>
                <w:rFonts w:cs="Arial"/>
                <w:szCs w:val="24"/>
              </w:rPr>
              <w:t>Sprachbewusstheit</w:t>
            </w:r>
            <w:r w:rsidR="00D95FE2">
              <w:rPr>
                <w:rFonts w:cs="Arial"/>
                <w:szCs w:val="24"/>
              </w:rPr>
              <w:t xml:space="preserve"> hinsichtlich eines  situationsangemessenen und adressatengerechten kommunikativen Handelns</w:t>
            </w:r>
            <w:r w:rsidRPr="00CF2722">
              <w:rPr>
                <w:rFonts w:cs="Arial"/>
                <w:szCs w:val="24"/>
              </w:rPr>
              <w:t>. Die Studierenden werden bei der Erstellung des neuen, ‚höflicheren‘  Dialoges selbstständig feststellen, dass er kürzer und effektiver sein wird als das Negativbeispiel. Dies sollte unbedingt i</w:t>
            </w:r>
            <w:r w:rsidR="00D95FE2">
              <w:rPr>
                <w:rFonts w:cs="Arial"/>
                <w:szCs w:val="24"/>
              </w:rPr>
              <w:t>n einem</w:t>
            </w:r>
            <w:r w:rsidRPr="00CF2722">
              <w:rPr>
                <w:rFonts w:cs="Arial"/>
                <w:szCs w:val="24"/>
              </w:rPr>
              <w:t xml:space="preserve"> darauffolgenden Unterrichtsgespräch thematisiert und die Gründe dafür besprochen werden.</w:t>
            </w:r>
            <w:r w:rsidR="00C05051">
              <w:rPr>
                <w:rFonts w:cs="Arial"/>
                <w:szCs w:val="24"/>
              </w:rPr>
              <w:t xml:space="preserve"> Die Aufgabe kann ebenfalls zu Zwecken der inneren Differenzierung herangezogen werden. Leistungs</w:t>
            </w:r>
            <w:r w:rsidR="00FF2183">
              <w:rPr>
                <w:rFonts w:cs="Arial"/>
                <w:szCs w:val="24"/>
              </w:rPr>
              <w:t>-</w:t>
            </w:r>
            <w:r w:rsidR="00C05051">
              <w:rPr>
                <w:rFonts w:cs="Arial"/>
                <w:szCs w:val="24"/>
              </w:rPr>
              <w:t>stärkere Studierenden können mit Hilfe des Impulses und der Aufgabenstellung ihre Kompetenz im Bereich der Sprach</w:t>
            </w:r>
            <w:r w:rsidR="00FF2183">
              <w:rPr>
                <w:rFonts w:cs="Arial"/>
                <w:szCs w:val="24"/>
              </w:rPr>
              <w:t>-</w:t>
            </w:r>
            <w:r w:rsidR="00C05051">
              <w:rPr>
                <w:rFonts w:cs="Arial"/>
                <w:szCs w:val="24"/>
              </w:rPr>
              <w:t>bewusstheit und der Interkulturellen Kompetenz vertiefen.</w:t>
            </w:r>
          </w:p>
        </w:tc>
      </w:tr>
    </w:tbl>
    <w:p w:rsidR="00400449" w:rsidRPr="00400449" w:rsidRDefault="00400449"/>
    <w:sectPr w:rsidR="00400449"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95" w:rsidRDefault="00962C95">
      <w:r>
        <w:separator/>
      </w:r>
    </w:p>
  </w:endnote>
  <w:endnote w:type="continuationSeparator" w:id="0">
    <w:p w:rsidR="00962C95" w:rsidRDefault="009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95" w:rsidRDefault="00962C95">
      <w:r>
        <w:separator/>
      </w:r>
    </w:p>
  </w:footnote>
  <w:footnote w:type="continuationSeparator" w:id="0">
    <w:p w:rsidR="00962C95" w:rsidRDefault="00962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CBE"/>
    <w:multiLevelType w:val="hybridMultilevel"/>
    <w:tmpl w:val="037C226A"/>
    <w:lvl w:ilvl="0" w:tplc="0FEC479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5F293A"/>
    <w:multiLevelType w:val="multilevel"/>
    <w:tmpl w:val="AD82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E8C7C7B"/>
    <w:multiLevelType w:val="hybridMultilevel"/>
    <w:tmpl w:val="D048D7B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38C4628"/>
    <w:multiLevelType w:val="hybridMultilevel"/>
    <w:tmpl w:val="B5F4E834"/>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10"/>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45A87"/>
    <w:rsid w:val="0009380A"/>
    <w:rsid w:val="001F72BF"/>
    <w:rsid w:val="00207353"/>
    <w:rsid w:val="002329C5"/>
    <w:rsid w:val="00255AF7"/>
    <w:rsid w:val="002C1FA6"/>
    <w:rsid w:val="002F18F1"/>
    <w:rsid w:val="00310BA4"/>
    <w:rsid w:val="00343B7C"/>
    <w:rsid w:val="003477EB"/>
    <w:rsid w:val="00352B5E"/>
    <w:rsid w:val="00400449"/>
    <w:rsid w:val="004203F4"/>
    <w:rsid w:val="004532B4"/>
    <w:rsid w:val="00455300"/>
    <w:rsid w:val="00495027"/>
    <w:rsid w:val="005C0C4B"/>
    <w:rsid w:val="00691132"/>
    <w:rsid w:val="006A2C6D"/>
    <w:rsid w:val="006A2CCA"/>
    <w:rsid w:val="00770CE7"/>
    <w:rsid w:val="0077238C"/>
    <w:rsid w:val="00780B95"/>
    <w:rsid w:val="00795D4C"/>
    <w:rsid w:val="007D45F2"/>
    <w:rsid w:val="007D67F2"/>
    <w:rsid w:val="008C1A51"/>
    <w:rsid w:val="009203E1"/>
    <w:rsid w:val="009474C4"/>
    <w:rsid w:val="00962C95"/>
    <w:rsid w:val="00A271BB"/>
    <w:rsid w:val="00A57EF1"/>
    <w:rsid w:val="00AA1BB7"/>
    <w:rsid w:val="00AC757C"/>
    <w:rsid w:val="00AF4122"/>
    <w:rsid w:val="00B1744F"/>
    <w:rsid w:val="00C05051"/>
    <w:rsid w:val="00C84D88"/>
    <w:rsid w:val="00CF2722"/>
    <w:rsid w:val="00D26D69"/>
    <w:rsid w:val="00D53A81"/>
    <w:rsid w:val="00D95FE2"/>
    <w:rsid w:val="00DC6BB6"/>
    <w:rsid w:val="00E46487"/>
    <w:rsid w:val="00ED6EA2"/>
    <w:rsid w:val="00EE1BC7"/>
    <w:rsid w:val="00F00098"/>
    <w:rsid w:val="00F11F16"/>
    <w:rsid w:val="00F57A0B"/>
    <w:rsid w:val="00F8766D"/>
    <w:rsid w:val="00FD6F29"/>
    <w:rsid w:val="00FF2183"/>
    <w:rsid w:val="00FF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uiPriority w:val="59"/>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74C4"/>
    <w:rPr>
      <w:color w:val="0000FF"/>
      <w:u w:val="single"/>
    </w:rPr>
  </w:style>
  <w:style w:type="character" w:styleId="Kommentarzeichen">
    <w:name w:val="annotation reference"/>
    <w:rsid w:val="00D26D69"/>
    <w:rPr>
      <w:sz w:val="16"/>
      <w:szCs w:val="16"/>
    </w:rPr>
  </w:style>
  <w:style w:type="paragraph" w:styleId="Kommentartext">
    <w:name w:val="annotation text"/>
    <w:basedOn w:val="Standard"/>
    <w:link w:val="KommentartextZchn"/>
    <w:rsid w:val="00D26D69"/>
    <w:rPr>
      <w:sz w:val="20"/>
    </w:rPr>
  </w:style>
  <w:style w:type="character" w:customStyle="1" w:styleId="KommentartextZchn">
    <w:name w:val="Kommentartext Zchn"/>
    <w:link w:val="Kommentartext"/>
    <w:rsid w:val="00D26D69"/>
    <w:rPr>
      <w:rFonts w:ascii="Arial" w:hAnsi="Arial"/>
    </w:rPr>
  </w:style>
  <w:style w:type="paragraph" w:styleId="Kommentarthema">
    <w:name w:val="annotation subject"/>
    <w:basedOn w:val="Kommentartext"/>
    <w:next w:val="Kommentartext"/>
    <w:link w:val="KommentarthemaZchn"/>
    <w:rsid w:val="00D26D69"/>
    <w:rPr>
      <w:b/>
      <w:bCs/>
    </w:rPr>
  </w:style>
  <w:style w:type="character" w:customStyle="1" w:styleId="KommentarthemaZchn">
    <w:name w:val="Kommentarthema Zchn"/>
    <w:link w:val="Kommentarthema"/>
    <w:rsid w:val="00D26D69"/>
    <w:rPr>
      <w:rFonts w:ascii="Arial" w:hAnsi="Arial"/>
      <w:b/>
      <w:bCs/>
    </w:rPr>
  </w:style>
  <w:style w:type="paragraph" w:styleId="Sprechblasentext">
    <w:name w:val="Balloon Text"/>
    <w:basedOn w:val="Standard"/>
    <w:link w:val="SprechblasentextZchn"/>
    <w:rsid w:val="00D26D69"/>
    <w:rPr>
      <w:rFonts w:ascii="Tahoma" w:hAnsi="Tahoma" w:cs="Tahoma"/>
      <w:sz w:val="16"/>
      <w:szCs w:val="16"/>
    </w:rPr>
  </w:style>
  <w:style w:type="character" w:customStyle="1" w:styleId="SprechblasentextZchn">
    <w:name w:val="Sprechblasentext Zchn"/>
    <w:link w:val="Sprechblasentext"/>
    <w:rsid w:val="00D26D69"/>
    <w:rPr>
      <w:rFonts w:ascii="Tahoma" w:hAnsi="Tahoma" w:cs="Tahoma"/>
      <w:sz w:val="16"/>
      <w:szCs w:val="16"/>
    </w:rPr>
  </w:style>
  <w:style w:type="paragraph" w:customStyle="1" w:styleId="aufzhlung-1">
    <w:name w:val="aufzählung-1"/>
    <w:basedOn w:val="Standard"/>
    <w:next w:val="Standard"/>
    <w:rsid w:val="00ED6EA2"/>
    <w:pPr>
      <w:tabs>
        <w:tab w:val="num" w:pos="284"/>
      </w:tabs>
      <w:spacing w:line="288"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0659">
      <w:bodyDiv w:val="1"/>
      <w:marLeft w:val="0"/>
      <w:marRight w:val="0"/>
      <w:marTop w:val="0"/>
      <w:marBottom w:val="0"/>
      <w:divBdr>
        <w:top w:val="none" w:sz="0" w:space="0" w:color="auto"/>
        <w:left w:val="none" w:sz="0" w:space="0" w:color="auto"/>
        <w:bottom w:val="none" w:sz="0" w:space="0" w:color="auto"/>
        <w:right w:val="none" w:sz="0" w:space="0" w:color="auto"/>
      </w:divBdr>
    </w:div>
    <w:div w:id="17672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meo.com/11336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7D7D6BB3.dotm</Template>
  <TotalTime>0</TotalTime>
  <Pages>4</Pages>
  <Words>840</Words>
  <Characters>6564</Characters>
  <Application>Microsoft Office Word</Application>
  <DocSecurity>0</DocSecurity>
  <Lines>205</Lines>
  <Paragraphs>74</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7330</CharactersWithSpaces>
  <SharedDoc>false</SharedDoc>
  <HLinks>
    <vt:vector size="6" baseType="variant">
      <vt:variant>
        <vt:i4>5636177</vt:i4>
      </vt:variant>
      <vt:variant>
        <vt:i4>12</vt:i4>
      </vt:variant>
      <vt:variant>
        <vt:i4>0</vt:i4>
      </vt:variant>
      <vt:variant>
        <vt:i4>5</vt:i4>
      </vt:variant>
      <vt:variant>
        <vt:lpwstr>http://vimeo.com/11336836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cp:lastModifiedBy>Bial, Jessica</cp:lastModifiedBy>
  <cp:revision>2</cp:revision>
  <dcterms:created xsi:type="dcterms:W3CDTF">2013-09-23T09:58:00Z</dcterms:created>
  <dcterms:modified xsi:type="dcterms:W3CDTF">2013-09-23T09:58:00Z</dcterms:modified>
</cp:coreProperties>
</file>