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9433"/>
      </w:tblGrid>
      <w:tr w:rsidR="000A3998" w:rsidRPr="00BE0BBE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2F535A6A" w:rsidR="000A3998" w:rsidRPr="00BE0BBE" w:rsidRDefault="000A3998" w:rsidP="002D34D9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2D34D9"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2667AB" w:rsidRPr="00BE0BBE" w14:paraId="0D2794A7" w14:textId="77777777" w:rsidTr="00245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AC55" w14:textId="40094325" w:rsidR="002667AB" w:rsidRPr="002667AB" w:rsidRDefault="002667AB" w:rsidP="002667AB">
            <w:pPr>
              <w:spacing w:before="12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III</w:t>
            </w: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:</w:t>
            </w: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Der Traum von einer besseren Welt – Die Bewahrung der Schöpfung als Gottes Auftrag für den Menschen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CF00887" w14:textId="77777777" w:rsidR="002667AB" w:rsidRPr="00BE0BBE" w:rsidRDefault="002667AB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F84001A" w14:textId="77777777" w:rsidR="002667AB" w:rsidRPr="00BE0BBE" w:rsidRDefault="002667AB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1: Menschsein in Freiheit und Verantwortung</w:t>
            </w:r>
          </w:p>
          <w:p w14:paraId="0604D637" w14:textId="77777777" w:rsidR="002667AB" w:rsidRPr="00BE0BBE" w:rsidRDefault="002667AB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der Mensch als Geschöpf Gottes und Mitgestalter der Welt</w:t>
            </w:r>
          </w:p>
          <w:p w14:paraId="029ABDB2" w14:textId="77777777" w:rsidR="002667AB" w:rsidRPr="00BE0BBE" w:rsidRDefault="002667AB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die Verantwortung des Menschen für sich und andere aus christlicher Perspektive</w:t>
            </w:r>
          </w:p>
          <w:p w14:paraId="056C149C" w14:textId="77777777" w:rsidR="002667AB" w:rsidRPr="00BE0BBE" w:rsidRDefault="002667AB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5: Bibel als „Ur-kunde“ des Glaubens</w:t>
            </w:r>
          </w:p>
          <w:p w14:paraId="1E5F47F8" w14:textId="77777777" w:rsidR="002667AB" w:rsidRPr="00BE0BBE" w:rsidRDefault="002667AB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Grundmotive und Gestalten der Bibel</w:t>
            </w:r>
          </w:p>
          <w:p w14:paraId="4858AE68" w14:textId="77777777" w:rsidR="002667AB" w:rsidRPr="00BE0BBE" w:rsidRDefault="002667AB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10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2667AB" w:rsidRPr="00BE0BBE" w14:paraId="731BA487" w14:textId="77777777" w:rsidTr="00245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83C3" w14:textId="77777777" w:rsidR="002667AB" w:rsidRPr="00BE0BBE" w:rsidRDefault="002667AB" w:rsidP="002452BA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0A91B96B" w14:textId="77777777" w:rsidR="002667AB" w:rsidRPr="00BE0BBE" w:rsidRDefault="002667AB" w:rsidP="002452BA">
            <w:pPr>
              <w:spacing w:before="12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1382EEBA" w14:textId="77777777" w:rsidR="002667AB" w:rsidRPr="00BE0BBE" w:rsidRDefault="002667AB" w:rsidP="002452BA">
            <w:pPr>
              <w:pStyle w:val="Listenabsatz"/>
              <w:numPr>
                <w:ilvl w:val="0"/>
                <w:numId w:val="25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entwickeln Fragen nach Grund, Sinn und Ziel des eigenen Lebens sowie der Welt und beschreiben erste Antwortversuche, SK1</w:t>
            </w:r>
          </w:p>
          <w:p w14:paraId="210D1988" w14:textId="77777777" w:rsidR="002667AB" w:rsidRPr="00BE0BBE" w:rsidRDefault="002667AB" w:rsidP="002452BA">
            <w:pPr>
              <w:pStyle w:val="Listenabsatz"/>
              <w:numPr>
                <w:ilvl w:val="0"/>
                <w:numId w:val="25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entwickeln Fragen nach der Erfahrbarkeit Gottes in der Welt, SK2</w:t>
            </w:r>
          </w:p>
          <w:p w14:paraId="0E994695" w14:textId="77777777" w:rsidR="002667AB" w:rsidRPr="00BE0BBE" w:rsidRDefault="002667AB" w:rsidP="002452BA">
            <w:pPr>
              <w:pStyle w:val="Listenabsatz"/>
              <w:numPr>
                <w:ilvl w:val="0"/>
                <w:numId w:val="25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beschreiben die Verantwortung für sich und andere als Konsequenz einer durch den Glauben geprägten Lebenshaltung, SK6</w:t>
            </w:r>
          </w:p>
          <w:p w14:paraId="2935833E" w14:textId="77777777" w:rsidR="002667AB" w:rsidRPr="00BE0BBE" w:rsidRDefault="002667AB" w:rsidP="002452BA">
            <w:pPr>
              <w:pStyle w:val="Listenabsatz"/>
              <w:numPr>
                <w:ilvl w:val="0"/>
                <w:numId w:val="25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recherchieren in digitalen Medienangeboten zur Erschließung religiös relevanter Themen, MK5</w:t>
            </w:r>
          </w:p>
          <w:p w14:paraId="04F8B572" w14:textId="77777777" w:rsidR="002667AB" w:rsidRPr="00BE0BBE" w:rsidRDefault="002667AB" w:rsidP="002452BA">
            <w:pPr>
              <w:pStyle w:val="Listenabsatz"/>
              <w:numPr>
                <w:ilvl w:val="0"/>
                <w:numId w:val="25"/>
              </w:numPr>
              <w:spacing w:before="120" w:after="200"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bewerten einfache ethische Sachverhalte unter Rückbezug auf ausgewählte christliche Positionen und Werte, UK2</w:t>
            </w:r>
          </w:p>
          <w:p w14:paraId="54559AAC" w14:textId="77777777" w:rsidR="002667AB" w:rsidRPr="00BE0BBE" w:rsidRDefault="002667AB" w:rsidP="002452BA">
            <w:pPr>
              <w:pStyle w:val="Listenabsatz"/>
              <w:numPr>
                <w:ilvl w:val="0"/>
                <w:numId w:val="25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erörtern in Ansätzen Handlungsoptionen, die sich aus dem Christsein ergeben. UK4</w:t>
            </w:r>
          </w:p>
        </w:tc>
      </w:tr>
      <w:tr w:rsidR="002667AB" w:rsidRPr="00BE0BBE" w14:paraId="7359B3E3" w14:textId="77777777" w:rsidTr="00E27846"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CC67" w14:textId="77777777" w:rsidR="002667AB" w:rsidRPr="00BE0BBE" w:rsidRDefault="002667AB" w:rsidP="002452BA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09453A8D" w14:textId="77777777" w:rsidR="002667AB" w:rsidRPr="00BE0BBE" w:rsidRDefault="002667AB" w:rsidP="002452BA">
            <w:pPr>
              <w:pStyle w:val="Listenabsatz"/>
              <w:numPr>
                <w:ilvl w:val="0"/>
                <w:numId w:val="68"/>
              </w:numPr>
              <w:spacing w:before="120" w:after="20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erläutern die Einzigartigkeit und Unverwechselbarkeit des Menschen sowie seine Bezogenheit auf andere als Grundelemente des christlichen Menschenbildes, K1</w:t>
            </w:r>
          </w:p>
          <w:p w14:paraId="3FE3F05D" w14:textId="77777777" w:rsidR="002667AB" w:rsidRPr="00BE0BBE" w:rsidRDefault="002667AB" w:rsidP="002452BA">
            <w:pPr>
              <w:pStyle w:val="Listenabsatz"/>
              <w:numPr>
                <w:ilvl w:val="0"/>
                <w:numId w:val="68"/>
              </w:numPr>
              <w:spacing w:before="120" w:after="20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zeigen das Spannungsverhältnis zwischen dem Bekenntnis zu Gottes guter Schöpfung und der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Wahrnehmung ihrer Gefährdung auf , K2</w:t>
            </w:r>
          </w:p>
          <w:p w14:paraId="26890205" w14:textId="7DCC76D3" w:rsidR="002667AB" w:rsidRPr="00BE0BBE" w:rsidRDefault="002667AB" w:rsidP="002452BA">
            <w:pPr>
              <w:pStyle w:val="Listenabsatz"/>
              <w:numPr>
                <w:ilvl w:val="0"/>
                <w:numId w:val="68"/>
              </w:numPr>
              <w:spacing w:before="120" w:after="20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erörtern bezogen auf ihren Alltag die Möglichkeiten eines Engagements für eine gerechtere und menschlichere </w:t>
            </w:r>
            <w:r w:rsidRPr="00FA32FA">
              <w:rPr>
                <w:rFonts w:cstheme="minorHAnsi"/>
                <w:color w:val="000000" w:themeColor="text1"/>
                <w:sz w:val="20"/>
                <w:szCs w:val="20"/>
              </w:rPr>
              <w:t>Welt</w:t>
            </w:r>
            <w:r w:rsidR="00274A01" w:rsidRPr="00FA32FA">
              <w:rPr>
                <w:rFonts w:cstheme="minorHAnsi"/>
                <w:color w:val="000000" w:themeColor="text1"/>
                <w:sz w:val="20"/>
                <w:szCs w:val="20"/>
              </w:rPr>
              <w:t xml:space="preserve"> vor dem Hintergrund des christlichen Menschenbildes</w:t>
            </w:r>
            <w:bookmarkStart w:id="0" w:name="_GoBack"/>
            <w:bookmarkEnd w:id="0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K4 </w:t>
            </w:r>
          </w:p>
          <w:p w14:paraId="711F324F" w14:textId="77777777" w:rsidR="002667AB" w:rsidRPr="00BE0BBE" w:rsidRDefault="002667AB" w:rsidP="002452BA">
            <w:pPr>
              <w:pStyle w:val="Listenabsatz"/>
              <w:numPr>
                <w:ilvl w:val="0"/>
                <w:numId w:val="68"/>
              </w:numPr>
              <w:spacing w:before="120" w:after="20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erörtern bezogen auf ihren Alltag die Möglichkeiten eines nachhaltigen Umgangs mit den Ressourcen der Erde vor dem Hintergrund der Schöpfungsverantwortung, K5</w:t>
            </w:r>
          </w:p>
          <w:p w14:paraId="54D9FF41" w14:textId="72143D0D" w:rsidR="002667AB" w:rsidRPr="00BE0BBE" w:rsidRDefault="002667AB" w:rsidP="002452BA">
            <w:pPr>
              <w:pStyle w:val="Listenabsatz"/>
              <w:numPr>
                <w:ilvl w:val="0"/>
                <w:numId w:val="68"/>
              </w:numPr>
              <w:spacing w:before="120" w:after="20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beurteilen in elementarer Form die Relevanz biblischer Glauben</w:t>
            </w:r>
            <w:r w:rsidR="00253ABE">
              <w:rPr>
                <w:rFonts w:cstheme="minorHAnsi"/>
                <w:color w:val="000000" w:themeColor="text1"/>
                <w:sz w:val="20"/>
                <w:szCs w:val="20"/>
              </w:rPr>
              <w:t>serzählungen für Menschen heute.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K39</w:t>
            </w:r>
          </w:p>
          <w:p w14:paraId="4A223282" w14:textId="77777777" w:rsidR="002667AB" w:rsidRPr="00BE0BBE" w:rsidRDefault="002667AB" w:rsidP="002452BA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CF89386" w14:textId="77777777" w:rsidR="002667AB" w:rsidRPr="00BE0BBE" w:rsidRDefault="002667AB" w:rsidP="002452BA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07403D8C" w14:textId="77777777" w:rsidR="002667AB" w:rsidRPr="00BE0BBE" w:rsidRDefault="002667AB" w:rsidP="002452BA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A5F" w14:textId="77777777" w:rsidR="002667AB" w:rsidRPr="00BE0BBE" w:rsidRDefault="002667AB" w:rsidP="002452BA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15B1864A" w14:textId="77777777" w:rsidR="002667AB" w:rsidRPr="00BE0BBE" w:rsidRDefault="002667AB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56798E50" w14:textId="77777777" w:rsidR="002667AB" w:rsidRPr="00BE0BBE" w:rsidRDefault="002667AB" w:rsidP="002452BA">
            <w:pPr>
              <w:pStyle w:val="Listenabsatz"/>
              <w:numPr>
                <w:ilvl w:val="0"/>
                <w:numId w:val="28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Staunen – Die Vielfalt und Schönheit der Natur erfahren (z. B. anhand von Dokumentarfilmen oder Unterrichtsgängen)</w:t>
            </w:r>
          </w:p>
          <w:p w14:paraId="10556D34" w14:textId="77777777" w:rsidR="002667AB" w:rsidRPr="00BE0BBE" w:rsidRDefault="002667AB" w:rsidP="002452BA">
            <w:pPr>
              <w:pStyle w:val="Listenabsatz"/>
              <w:numPr>
                <w:ilvl w:val="0"/>
                <w:numId w:val="28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Der Kosmos – so groß und doch so klein; eine naturwissenschaftliche und theologische Annäherung</w:t>
            </w:r>
          </w:p>
          <w:p w14:paraId="384B2B13" w14:textId="77777777" w:rsidR="002667AB" w:rsidRPr="00BE0BBE" w:rsidRDefault="002667AB" w:rsidP="002452BA">
            <w:pPr>
              <w:pStyle w:val="Listenabsatz"/>
              <w:numPr>
                <w:ilvl w:val="0"/>
                <w:numId w:val="28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Die Welt als Schöpfung Gottes – die Botschaft der Bibel (z. B. Gen 1,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Spr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8,22-31,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8)</w:t>
            </w:r>
          </w:p>
          <w:p w14:paraId="36C040CF" w14:textId="77777777" w:rsidR="002667AB" w:rsidRPr="00BE0BBE" w:rsidRDefault="002667AB" w:rsidP="002452BA">
            <w:pPr>
              <w:pStyle w:val="Listenabsatz"/>
              <w:numPr>
                <w:ilvl w:val="0"/>
                <w:numId w:val="28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„Und siehe, es war sehr gut“ (Gen 1,22b) – und was haben die Menschen daraus gemacht? Gefährdungen der Welt, erarbeitet z. B. an einer Ganzschrift</w:t>
            </w:r>
          </w:p>
          <w:p w14:paraId="088314ED" w14:textId="77777777" w:rsidR="002667AB" w:rsidRPr="00BE0BBE" w:rsidRDefault="002667AB" w:rsidP="002452BA">
            <w:pPr>
              <w:pStyle w:val="Listenabsatz"/>
              <w:numPr>
                <w:ilvl w:val="0"/>
                <w:numId w:val="28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Der Herrschaftsauftrag als Verantwortung des Menschen für die Schöpfung</w:t>
            </w:r>
          </w:p>
          <w:p w14:paraId="3279965D" w14:textId="41E8AA4A" w:rsidR="00E27846" w:rsidRDefault="002667AB" w:rsidP="00E27846">
            <w:pPr>
              <w:pStyle w:val="Listenabsatz"/>
              <w:numPr>
                <w:ilvl w:val="0"/>
                <w:numId w:val="28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Was können wir tun? –Schöpfungsverantwortung in unserem Alltag z. B. Schulaktion zur Müllvermeidung oder zum Verkauf nachhaltig produzierter und fair gehandelter Produkte (vgl. Misereor-Fastenaktion)</w:t>
            </w:r>
          </w:p>
          <w:p w14:paraId="0606767D" w14:textId="77777777" w:rsidR="002667AB" w:rsidRPr="00BE0BBE" w:rsidRDefault="002667AB" w:rsidP="00E27846">
            <w:pPr>
              <w:spacing w:before="2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40FC5B6C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Erfahrungsbezogene Zugänge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über Erleben der Natur, vgl. Hans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Mendl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Naturerfahrung – Schöpfung erleben, in: Religion erleben, München 2008, S.233-250</w:t>
            </w:r>
          </w:p>
          <w:p w14:paraId="2C4C190D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Arbeit mit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Filmen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/ Filmausschnitten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z.B.:</w:t>
            </w:r>
          </w:p>
          <w:p w14:paraId="7E69C0E4" w14:textId="77777777" w:rsidR="002667AB" w:rsidRPr="00BE0BBE" w:rsidRDefault="002667AB" w:rsidP="002452BA">
            <w:pPr>
              <w:pStyle w:val="Listenabsatz"/>
              <w:numPr>
                <w:ilvl w:val="1"/>
                <w:numId w:val="27"/>
              </w:numPr>
              <w:spacing w:before="120" w:after="200" w:line="276" w:lineRule="auto"/>
              <w:ind w:left="641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Mikrokosmos,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Claude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Nuridsany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/ Marie </w:t>
            </w:r>
            <w:hyperlink r:id="rId9" w:tooltip="Marie Pérennou (Seite nicht vorhanden)" w:history="1">
              <w:proofErr w:type="spellStart"/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Pérennou</w:t>
              </w:r>
              <w:proofErr w:type="spellEnd"/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Frankreich 1995. Inhalt: Dokumentarfilm, der die Welt der Insekten in einem kleinen Wiesenstück in Mikroaufnahmen sichtbar macht.</w:t>
            </w:r>
          </w:p>
          <w:p w14:paraId="3A19DB5F" w14:textId="77777777" w:rsidR="002667AB" w:rsidRPr="00BE0BBE" w:rsidRDefault="002667AB" w:rsidP="002452BA">
            <w:pPr>
              <w:pStyle w:val="Listenabsatz"/>
              <w:numPr>
                <w:ilvl w:val="1"/>
                <w:numId w:val="27"/>
              </w:numPr>
              <w:spacing w:before="120" w:after="200" w:line="276" w:lineRule="auto"/>
              <w:ind w:left="641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Genesis.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Woher kommen wir? Milliarden von Jahren sichtbar gemacht, </w:t>
            </w:r>
            <w:hyperlink r:id="rId10" w:tooltip="Claude Nuridsany (Seite nicht vorhanden)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 xml:space="preserve">Claude </w:t>
              </w:r>
              <w:proofErr w:type="spellStart"/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Nuridsany</w:t>
              </w:r>
              <w:proofErr w:type="spellEnd"/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/ </w:t>
            </w:r>
            <w:hyperlink r:id="rId11" w:tooltip="Marie Pérennou (Seite nicht vorhanden)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 xml:space="preserve">Marie </w:t>
              </w:r>
              <w:proofErr w:type="spellStart"/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Pérennou</w:t>
              </w:r>
              <w:proofErr w:type="spellEnd"/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Frankreich 2004; Buch zum Film: Genesis, Hildesheim 2004. Inhalt: Anhand von Naturaufnahmen wird die Entstehung des </w:t>
            </w:r>
            <w:hyperlink r:id="rId12" w:tooltip="Universum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Universums</w:t>
              </w:r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und des </w:t>
            </w:r>
            <w:hyperlink r:id="rId13" w:tooltip="Leben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Lebens</w:t>
              </w:r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dargestellt. Kommentare eines afrikanischen Schöpfungsmythos unterlegen die Bilder. </w:t>
            </w:r>
          </w:p>
          <w:p w14:paraId="0D019EC3" w14:textId="77777777" w:rsidR="002667AB" w:rsidRPr="00BE0BBE" w:rsidRDefault="002667AB" w:rsidP="002452BA">
            <w:pPr>
              <w:pStyle w:val="Listenabsatz"/>
              <w:numPr>
                <w:ilvl w:val="1"/>
                <w:numId w:val="27"/>
              </w:numPr>
              <w:spacing w:before="120" w:after="200" w:line="276" w:lineRule="auto"/>
              <w:ind w:left="641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Planet Erde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(Originaltitel: </w:t>
            </w: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Planet Earth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), </w:t>
            </w:r>
            <w:hyperlink r:id="rId14" w:tooltip="British Broadcasting Corporation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BBC</w:t>
              </w:r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hyperlink r:id="rId15" w:tooltip="Dokumentarfilm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Dokumentarfilmreihe</w:t>
              </w:r>
            </w:hyperlink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Großbritannien 2006, 11 Episoden zu 45min/ Kinofilm „Unsere Erde“ 2008. Inhalt: ein umfassendes Porträt der Erde wird anhand spektakulärer Naturaufnahmen gezeichnet. </w:t>
            </w:r>
          </w:p>
          <w:p w14:paraId="12344AC0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Intertextuelle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Erarbeitung des Schöpfungsmotivs in biblischen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Texten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z.B. Schöpfungstexte der Genesis, Schöpfungspsalmen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8,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19,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22,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104, Buch der Sprüche 8,22-31, Weish 13,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Mt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6,25-36</w:t>
            </w:r>
          </w:p>
          <w:p w14:paraId="7B246C28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Kreative Umsetzung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biblischer Texte, Gestaltung eigener Psalmen</w:t>
            </w:r>
          </w:p>
          <w:p w14:paraId="3F563484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Die Makro- und Mikrowelt des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Kosmos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aus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naturwissenschaftlicher und religiöser Sicht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betrachten; Material z.B.: U. Rößler/ J. Ruf, Foliensatz Zehn hoch, Regensburg 1992; Lieder zur Schöpfung, z.B. “Du bist da“ Düsseldorf/München 2004;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104 (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104,24:</w:t>
            </w:r>
            <w:r w:rsidRPr="00BE0BBE">
              <w:rPr>
                <w:rFonts w:eastAsia="Times New Roman" w:cstheme="minorHAnsi"/>
                <w:color w:val="000000" w:themeColor="text1"/>
                <w:sz w:val="20"/>
                <w:szCs w:val="20"/>
                <w:lang w:eastAsia="de-DE"/>
              </w:rPr>
              <w:t xml:space="preserve"> Herr, wie zahlreich sind deine Werke! /Mit Weisheit hast du sie alle gemacht, die Erde ist voll von deinen Geschöpfen)</w:t>
            </w:r>
          </w:p>
          <w:p w14:paraId="69297AB3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Arbeit mit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Liedern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zur Schöpfung (vgl. Literatur zu Kindergottesdiensten, Neues Geistliches Lied im Verlag Haus Altenberg, Lieder des WGT etc.)</w:t>
            </w:r>
          </w:p>
          <w:p w14:paraId="7755218E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Gestaltung eines Schulgottesdienstes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zur Schöpfung und Schöpfungsverantwortung</w:t>
            </w:r>
          </w:p>
          <w:p w14:paraId="17F54072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Erstellen von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Kollagen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zur Schönheit und zu den Gefährdungen der Schöpfung </w:t>
            </w:r>
          </w:p>
          <w:p w14:paraId="36B612A2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Lektüre einer Ganzschrift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z.B. Ulrich Hub, An der Arche um Acht, Düsseldorf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2013;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Laudato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si – Unsere Erde in Gefahr. Eine Botschaft von Papst Franziskus für dich. Die Enzyklika „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Laudato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si“ von Papst Franziskus für Kinder übersetzt,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dkv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in Kooperation mit dem Kindermissionswerk „Die Sternsinger“ 2016, weitere Bilderbücher zur Arche Noah-Erzählung</w:t>
            </w:r>
          </w:p>
          <w:p w14:paraId="01F593B1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Internetrecherche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zu Projekten des Umweltschutzes in der eigenen Umgebung</w:t>
            </w:r>
          </w:p>
          <w:p w14:paraId="452FA1AD" w14:textId="77777777" w:rsidR="002667AB" w:rsidRPr="00BE0BBE" w:rsidRDefault="002667AB" w:rsidP="002452BA">
            <w:pPr>
              <w:pStyle w:val="Listenabsatz"/>
              <w:numPr>
                <w:ilvl w:val="0"/>
                <w:numId w:val="26"/>
              </w:numPr>
              <w:spacing w:before="120" w:after="20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Weitere Literaturhinweise: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Stefan Altmeyer (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Hg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.), Jahrbuch der Religionspädagogik, Schöpfung, 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34/2018; Albert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Biesinger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/ Helga Kohler-Spiegel (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Hg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.), Gibt´s Gott? Die großen Themen der Religion. Kinder fragen – Forscherinnen und Forscher antworten, München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2015; Zeitschrift Entwurf 4/2008 Schöpfung; Rainer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Oberthür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Psalmwortkartei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Dieck-Verlag o.J.; Projekte werden beschrieben in: Clauß Peter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Sajak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Hg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.) Schöpfung. Wissen-Kompetenzen-Haltungen, Sek I und II, Lernen im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Trialog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Heft 4, Paderborn 2015 </w:t>
            </w:r>
          </w:p>
          <w:p w14:paraId="4006642C" w14:textId="6CB5A301" w:rsidR="002667AB" w:rsidRDefault="002667AB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---</w:t>
            </w:r>
          </w:p>
          <w:p w14:paraId="7841B705" w14:textId="6FF7DE15" w:rsidR="002667AB" w:rsidRPr="002667AB" w:rsidRDefault="002667AB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Projekte zum Umweltschutz in der näheren Umgebung besuchen/unterstützen ggf. im fächerverbindenden Lernen mit dem Biologieunterricht</w:t>
            </w:r>
          </w:p>
          <w:p w14:paraId="0C17425D" w14:textId="77777777" w:rsidR="002667AB" w:rsidRPr="00BE0BBE" w:rsidRDefault="002667AB" w:rsidP="002452BA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Fastenaktion Misereor</w:t>
            </w:r>
          </w:p>
        </w:tc>
      </w:tr>
    </w:tbl>
    <w:p w14:paraId="3EC5B9D8" w14:textId="77777777" w:rsidR="006A1525" w:rsidRPr="00BE0BBE" w:rsidRDefault="006A1525" w:rsidP="00B30569">
      <w:pPr>
        <w:rPr>
          <w:rFonts w:cstheme="minorHAnsi"/>
          <w:sz w:val="20"/>
          <w:szCs w:val="20"/>
        </w:rPr>
      </w:pPr>
    </w:p>
    <w:sectPr w:rsidR="006A1525" w:rsidRPr="00BE0BBE" w:rsidSect="002667AB">
      <w:footerReference w:type="default" r:id="rId16"/>
      <w:pgSz w:w="16838" w:h="11906" w:orient="landscape"/>
      <w:pgMar w:top="1417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4DE5" w14:textId="77777777" w:rsidR="00B81F04" w:rsidRDefault="00B81F04" w:rsidP="00E30C0A">
      <w:pPr>
        <w:spacing w:after="0" w:line="240" w:lineRule="auto"/>
      </w:pPr>
      <w:r>
        <w:separator/>
      </w:r>
    </w:p>
  </w:endnote>
  <w:endnote w:type="continuationSeparator" w:id="0">
    <w:p w14:paraId="67F409FA" w14:textId="77777777" w:rsidR="00B81F04" w:rsidRDefault="00B81F0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77777777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2FA">
          <w:rPr>
            <w:noProof/>
          </w:rPr>
          <w:t>3</w:t>
        </w:r>
        <w:r>
          <w:fldChar w:fldCharType="end"/>
        </w:r>
      </w:p>
    </w:sdtContent>
  </w:sdt>
  <w:p w14:paraId="01486E98" w14:textId="77777777" w:rsidR="000A3998" w:rsidRDefault="000A39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622D" w14:textId="77777777" w:rsidR="00B81F04" w:rsidRDefault="00B81F04" w:rsidP="00E30C0A">
      <w:pPr>
        <w:spacing w:after="0" w:line="240" w:lineRule="auto"/>
      </w:pPr>
      <w:r>
        <w:separator/>
      </w:r>
    </w:p>
  </w:footnote>
  <w:footnote w:type="continuationSeparator" w:id="0">
    <w:p w14:paraId="202CDA0F" w14:textId="77777777" w:rsidR="00B81F04" w:rsidRDefault="00B81F04" w:rsidP="00E3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4"/>
  </w:num>
  <w:num w:numId="3">
    <w:abstractNumId w:val="31"/>
  </w:num>
  <w:num w:numId="4">
    <w:abstractNumId w:val="10"/>
  </w:num>
  <w:num w:numId="5">
    <w:abstractNumId w:val="50"/>
  </w:num>
  <w:num w:numId="6">
    <w:abstractNumId w:val="23"/>
  </w:num>
  <w:num w:numId="7">
    <w:abstractNumId w:val="70"/>
  </w:num>
  <w:num w:numId="8">
    <w:abstractNumId w:val="47"/>
  </w:num>
  <w:num w:numId="9">
    <w:abstractNumId w:val="62"/>
  </w:num>
  <w:num w:numId="10">
    <w:abstractNumId w:val="52"/>
  </w:num>
  <w:num w:numId="11">
    <w:abstractNumId w:val="15"/>
  </w:num>
  <w:num w:numId="12">
    <w:abstractNumId w:val="21"/>
  </w:num>
  <w:num w:numId="13">
    <w:abstractNumId w:val="5"/>
  </w:num>
  <w:num w:numId="14">
    <w:abstractNumId w:val="42"/>
  </w:num>
  <w:num w:numId="15">
    <w:abstractNumId w:val="4"/>
  </w:num>
  <w:num w:numId="16">
    <w:abstractNumId w:val="1"/>
  </w:num>
  <w:num w:numId="17">
    <w:abstractNumId w:val="29"/>
  </w:num>
  <w:num w:numId="18">
    <w:abstractNumId w:val="38"/>
  </w:num>
  <w:num w:numId="19">
    <w:abstractNumId w:val="26"/>
  </w:num>
  <w:num w:numId="20">
    <w:abstractNumId w:val="63"/>
  </w:num>
  <w:num w:numId="21">
    <w:abstractNumId w:val="14"/>
  </w:num>
  <w:num w:numId="22">
    <w:abstractNumId w:val="49"/>
  </w:num>
  <w:num w:numId="23">
    <w:abstractNumId w:val="37"/>
  </w:num>
  <w:num w:numId="24">
    <w:abstractNumId w:val="9"/>
  </w:num>
  <w:num w:numId="25">
    <w:abstractNumId w:val="66"/>
  </w:num>
  <w:num w:numId="26">
    <w:abstractNumId w:val="36"/>
  </w:num>
  <w:num w:numId="27">
    <w:abstractNumId w:val="57"/>
  </w:num>
  <w:num w:numId="28">
    <w:abstractNumId w:val="32"/>
  </w:num>
  <w:num w:numId="29">
    <w:abstractNumId w:val="13"/>
  </w:num>
  <w:num w:numId="30">
    <w:abstractNumId w:val="16"/>
  </w:num>
  <w:num w:numId="31">
    <w:abstractNumId w:val="69"/>
  </w:num>
  <w:num w:numId="32">
    <w:abstractNumId w:val="65"/>
  </w:num>
  <w:num w:numId="33">
    <w:abstractNumId w:val="59"/>
  </w:num>
  <w:num w:numId="34">
    <w:abstractNumId w:val="43"/>
  </w:num>
  <w:num w:numId="35">
    <w:abstractNumId w:val="18"/>
  </w:num>
  <w:num w:numId="36">
    <w:abstractNumId w:val="68"/>
  </w:num>
  <w:num w:numId="37">
    <w:abstractNumId w:val="6"/>
  </w:num>
  <w:num w:numId="38">
    <w:abstractNumId w:val="25"/>
  </w:num>
  <w:num w:numId="39">
    <w:abstractNumId w:val="58"/>
  </w:num>
  <w:num w:numId="40">
    <w:abstractNumId w:val="19"/>
  </w:num>
  <w:num w:numId="41">
    <w:abstractNumId w:val="17"/>
  </w:num>
  <w:num w:numId="42">
    <w:abstractNumId w:val="53"/>
  </w:num>
  <w:num w:numId="43">
    <w:abstractNumId w:val="7"/>
  </w:num>
  <w:num w:numId="44">
    <w:abstractNumId w:val="22"/>
  </w:num>
  <w:num w:numId="45">
    <w:abstractNumId w:val="67"/>
  </w:num>
  <w:num w:numId="46">
    <w:abstractNumId w:val="12"/>
  </w:num>
  <w:num w:numId="47">
    <w:abstractNumId w:val="28"/>
  </w:num>
  <w:num w:numId="48">
    <w:abstractNumId w:val="44"/>
  </w:num>
  <w:num w:numId="49">
    <w:abstractNumId w:val="27"/>
  </w:num>
  <w:num w:numId="50">
    <w:abstractNumId w:val="51"/>
  </w:num>
  <w:num w:numId="51">
    <w:abstractNumId w:val="3"/>
  </w:num>
  <w:num w:numId="52">
    <w:abstractNumId w:val="46"/>
  </w:num>
  <w:num w:numId="53">
    <w:abstractNumId w:val="2"/>
  </w:num>
  <w:num w:numId="54">
    <w:abstractNumId w:val="41"/>
  </w:num>
  <w:num w:numId="55">
    <w:abstractNumId w:val="56"/>
  </w:num>
  <w:num w:numId="56">
    <w:abstractNumId w:val="33"/>
  </w:num>
  <w:num w:numId="57">
    <w:abstractNumId w:val="45"/>
  </w:num>
  <w:num w:numId="58">
    <w:abstractNumId w:val="11"/>
  </w:num>
  <w:num w:numId="59">
    <w:abstractNumId w:val="35"/>
  </w:num>
  <w:num w:numId="60">
    <w:abstractNumId w:val="55"/>
  </w:num>
  <w:num w:numId="61">
    <w:abstractNumId w:val="48"/>
  </w:num>
  <w:num w:numId="62">
    <w:abstractNumId w:val="30"/>
  </w:num>
  <w:num w:numId="63">
    <w:abstractNumId w:val="34"/>
  </w:num>
  <w:num w:numId="64">
    <w:abstractNumId w:val="40"/>
  </w:num>
  <w:num w:numId="65">
    <w:abstractNumId w:val="8"/>
  </w:num>
  <w:num w:numId="66">
    <w:abstractNumId w:val="60"/>
  </w:num>
  <w:num w:numId="67">
    <w:abstractNumId w:val="61"/>
  </w:num>
  <w:num w:numId="68">
    <w:abstractNumId w:val="24"/>
  </w:num>
  <w:num w:numId="69">
    <w:abstractNumId w:val="64"/>
  </w:num>
  <w:num w:numId="70">
    <w:abstractNumId w:val="0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4"/>
    <w:rsid w:val="000A3998"/>
    <w:rsid w:val="000C0268"/>
    <w:rsid w:val="000E213B"/>
    <w:rsid w:val="0010736C"/>
    <w:rsid w:val="001163A4"/>
    <w:rsid w:val="00136BAD"/>
    <w:rsid w:val="001578A0"/>
    <w:rsid w:val="001B7322"/>
    <w:rsid w:val="002229EF"/>
    <w:rsid w:val="002238ED"/>
    <w:rsid w:val="002250BF"/>
    <w:rsid w:val="00253ABE"/>
    <w:rsid w:val="002667AB"/>
    <w:rsid w:val="002677B7"/>
    <w:rsid w:val="00274A01"/>
    <w:rsid w:val="00296EB2"/>
    <w:rsid w:val="00297502"/>
    <w:rsid w:val="002B0D96"/>
    <w:rsid w:val="002C0DF2"/>
    <w:rsid w:val="002C2D02"/>
    <w:rsid w:val="002D34D9"/>
    <w:rsid w:val="002E347A"/>
    <w:rsid w:val="003635E5"/>
    <w:rsid w:val="003A7312"/>
    <w:rsid w:val="003C2B71"/>
    <w:rsid w:val="0044537B"/>
    <w:rsid w:val="00480CA5"/>
    <w:rsid w:val="004B040B"/>
    <w:rsid w:val="005330B7"/>
    <w:rsid w:val="005E2A7F"/>
    <w:rsid w:val="00607340"/>
    <w:rsid w:val="00621F6D"/>
    <w:rsid w:val="006349D7"/>
    <w:rsid w:val="006A1525"/>
    <w:rsid w:val="006B157F"/>
    <w:rsid w:val="006C4189"/>
    <w:rsid w:val="00706AAC"/>
    <w:rsid w:val="00740D37"/>
    <w:rsid w:val="00750A45"/>
    <w:rsid w:val="007531ED"/>
    <w:rsid w:val="00767465"/>
    <w:rsid w:val="007A60AB"/>
    <w:rsid w:val="007B443E"/>
    <w:rsid w:val="00853EF9"/>
    <w:rsid w:val="008C3D1E"/>
    <w:rsid w:val="008C55A7"/>
    <w:rsid w:val="008D257D"/>
    <w:rsid w:val="009A0EB9"/>
    <w:rsid w:val="009C71B0"/>
    <w:rsid w:val="009E75F2"/>
    <w:rsid w:val="00A1249A"/>
    <w:rsid w:val="00A207DE"/>
    <w:rsid w:val="00A251A3"/>
    <w:rsid w:val="00A62B57"/>
    <w:rsid w:val="00A9206F"/>
    <w:rsid w:val="00B30569"/>
    <w:rsid w:val="00B35003"/>
    <w:rsid w:val="00B46ACF"/>
    <w:rsid w:val="00B751A9"/>
    <w:rsid w:val="00B81F04"/>
    <w:rsid w:val="00BA6798"/>
    <w:rsid w:val="00BE0BBE"/>
    <w:rsid w:val="00BF55C9"/>
    <w:rsid w:val="00CD20C2"/>
    <w:rsid w:val="00CE578D"/>
    <w:rsid w:val="00D41AEE"/>
    <w:rsid w:val="00DC4373"/>
    <w:rsid w:val="00DF7AC4"/>
    <w:rsid w:val="00E22D4B"/>
    <w:rsid w:val="00E27846"/>
    <w:rsid w:val="00E30C0A"/>
    <w:rsid w:val="00E374C0"/>
    <w:rsid w:val="00ED6774"/>
    <w:rsid w:val="00ED68B5"/>
    <w:rsid w:val="00EE2ED7"/>
    <w:rsid w:val="00F2251F"/>
    <w:rsid w:val="00F42890"/>
    <w:rsid w:val="00F71EA1"/>
    <w:rsid w:val="00F73AF2"/>
    <w:rsid w:val="00FA129F"/>
    <w:rsid w:val="00FA32FA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51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.wikipedia.org/wiki/Leb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.wikipedia.org/wiki/Universu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wikipedia.org/w/index.php?title=Marie_P%C3%A9rennou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.wikipedia.org/wiki/Dokumentarfilm" TargetMode="External"/><Relationship Id="rId10" Type="http://schemas.openxmlformats.org/officeDocument/2006/relationships/hyperlink" Target="https://de.wikipedia.org/w/index.php?title=Claude_Nuridsany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.wikipedia.org/w/index.php?title=Marie_P%C3%A9rennou&amp;action=edit&amp;redlink=1" TargetMode="External"/><Relationship Id="rId14" Type="http://schemas.openxmlformats.org/officeDocument/2006/relationships/hyperlink" Target="https://de.wikipedia.org/wiki/British_Broadcasting_Corporatio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0EF0-D918-44E4-926C-993B97D9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C0576A6C.dotm</Template>
  <TotalTime>0</TotalTime>
  <Pages>3</Pages>
  <Words>887</Words>
  <Characters>5592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Otten</dc:creator>
  <cp:keywords/>
  <dc:description/>
  <cp:lastModifiedBy>Hartwig, Cordula</cp:lastModifiedBy>
  <cp:revision>15</cp:revision>
  <dcterms:created xsi:type="dcterms:W3CDTF">2019-07-02T13:58:00Z</dcterms:created>
  <dcterms:modified xsi:type="dcterms:W3CDTF">2019-09-11T14:55:00Z</dcterms:modified>
</cp:coreProperties>
</file>